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6E" w:rsidRPr="00C862BA" w:rsidRDefault="00376F6E" w:rsidP="00376F6E">
      <w:pPr>
        <w:spacing w:line="360" w:lineRule="auto"/>
        <w:jc w:val="center"/>
        <w:rPr>
          <w:rFonts w:ascii="Tahoma" w:hAnsi="Tahoma" w:cs="Tahoma"/>
          <w:b/>
          <w:color w:val="6297D8"/>
          <w:sz w:val="26"/>
          <w:szCs w:val="26"/>
          <w:rtl/>
        </w:rPr>
      </w:pPr>
      <w:r w:rsidRPr="00C862BA">
        <w:rPr>
          <w:rFonts w:ascii="Tahoma" w:hAnsi="Tahoma" w:cs="Tahoma"/>
          <w:bCs/>
          <w:color w:val="6297D8"/>
          <w:sz w:val="36"/>
          <w:szCs w:val="36"/>
          <w:rtl/>
        </w:rPr>
        <w:t xml:space="preserve">                     </w:t>
      </w:r>
      <w:r w:rsidRPr="00C862BA">
        <w:rPr>
          <w:rFonts w:ascii="Tahoma" w:hAnsi="Tahoma" w:cs="Tahoma"/>
          <w:bCs/>
          <w:color w:val="6297D8"/>
          <w:rtl/>
        </w:rPr>
        <w:t xml:space="preserve">     </w:t>
      </w:r>
      <w:r w:rsidR="0032241C" w:rsidRPr="00C862BA">
        <w:rPr>
          <w:rFonts w:ascii="Tahoma" w:hAnsi="Tahoma" w:cs="Tahoma"/>
          <w:bCs/>
          <w:color w:val="6297D8"/>
          <w:rtl/>
        </w:rPr>
        <w:t xml:space="preserve">                         </w:t>
      </w:r>
      <w:r w:rsidRPr="00C862BA">
        <w:rPr>
          <w:rFonts w:ascii="Tahoma" w:hAnsi="Tahoma" w:cs="Tahoma"/>
          <w:bCs/>
          <w:color w:val="6297D8"/>
          <w:sz w:val="26"/>
          <w:szCs w:val="26"/>
          <w:rtl/>
        </w:rPr>
        <w:t>תאריך עדכון:</w:t>
      </w:r>
      <w:r w:rsidR="00173F41" w:rsidRPr="00C862BA">
        <w:rPr>
          <w:rFonts w:ascii="Tahoma" w:hAnsi="Tahoma" w:cs="Tahoma"/>
          <w:bCs/>
          <w:color w:val="6297D8"/>
          <w:sz w:val="26"/>
          <w:szCs w:val="26"/>
          <w:rtl/>
        </w:rPr>
        <w:t xml:space="preserve"> </w:t>
      </w:r>
      <w:r w:rsidR="00CC3414" w:rsidRPr="00C862BA">
        <w:rPr>
          <w:rFonts w:ascii="Tahoma" w:hAnsi="Tahoma" w:cs="Tahoma"/>
          <w:b/>
          <w:color w:val="6297D8"/>
          <w:sz w:val="26"/>
          <w:szCs w:val="26"/>
          <w:rtl/>
        </w:rPr>
        <w:t>2</w:t>
      </w:r>
      <w:r w:rsidR="0019786B" w:rsidRPr="00C862BA">
        <w:rPr>
          <w:rFonts w:ascii="Tahoma" w:hAnsi="Tahoma" w:cs="Tahoma"/>
          <w:b/>
          <w:color w:val="6297D8"/>
          <w:sz w:val="26"/>
          <w:szCs w:val="26"/>
          <w:rtl/>
        </w:rPr>
        <w:t>8</w:t>
      </w:r>
      <w:r w:rsidR="0032241C" w:rsidRPr="00C862BA">
        <w:rPr>
          <w:rFonts w:ascii="Tahoma" w:hAnsi="Tahoma" w:cs="Tahoma"/>
          <w:b/>
          <w:color w:val="6297D8"/>
          <w:sz w:val="26"/>
          <w:szCs w:val="26"/>
          <w:rtl/>
        </w:rPr>
        <w:t>.</w:t>
      </w:r>
      <w:r w:rsidR="00CC3414" w:rsidRPr="00C862BA">
        <w:rPr>
          <w:rFonts w:ascii="Tahoma" w:hAnsi="Tahoma" w:cs="Tahoma"/>
          <w:b/>
          <w:color w:val="6297D8"/>
          <w:sz w:val="26"/>
          <w:szCs w:val="26"/>
          <w:rtl/>
        </w:rPr>
        <w:t>6</w:t>
      </w:r>
      <w:r w:rsidR="0032241C" w:rsidRPr="00C862BA">
        <w:rPr>
          <w:rFonts w:ascii="Tahoma" w:hAnsi="Tahoma" w:cs="Tahoma"/>
          <w:b/>
          <w:color w:val="6297D8"/>
          <w:sz w:val="26"/>
          <w:szCs w:val="26"/>
          <w:rtl/>
        </w:rPr>
        <w:t>.</w:t>
      </w:r>
      <w:r w:rsidR="0019786B" w:rsidRPr="00C862BA">
        <w:rPr>
          <w:rFonts w:ascii="Tahoma" w:hAnsi="Tahoma" w:cs="Tahoma"/>
          <w:b/>
          <w:color w:val="6297D8"/>
          <w:sz w:val="26"/>
          <w:szCs w:val="26"/>
          <w:rtl/>
        </w:rPr>
        <w:t>20</w:t>
      </w:r>
    </w:p>
    <w:p w:rsidR="00C862BA" w:rsidRPr="00C862BA" w:rsidRDefault="00C862BA" w:rsidP="00376F6E">
      <w:pPr>
        <w:spacing w:line="360" w:lineRule="auto"/>
        <w:jc w:val="center"/>
        <w:rPr>
          <w:rFonts w:ascii="Tahoma" w:hAnsi="Tahoma" w:cs="Tahoma"/>
          <w:bCs/>
          <w:color w:val="6297D8"/>
          <w:sz w:val="36"/>
          <w:szCs w:val="36"/>
          <w:rtl/>
        </w:rPr>
      </w:pPr>
    </w:p>
    <w:p w:rsidR="00376F6E" w:rsidRPr="00C862BA" w:rsidRDefault="00C862BA" w:rsidP="00376F6E">
      <w:pPr>
        <w:spacing w:line="360" w:lineRule="auto"/>
        <w:jc w:val="center"/>
        <w:rPr>
          <w:rFonts w:ascii="Tahoma" w:hAnsi="Tahoma" w:cs="Tahoma"/>
          <w:color w:val="6297D8"/>
          <w:sz w:val="32"/>
          <w:szCs w:val="32"/>
          <w:rtl/>
        </w:rPr>
      </w:pPr>
      <w:r w:rsidRPr="00C862BA">
        <w:rPr>
          <w:rFonts w:ascii="Tahoma" w:hAnsi="Tahoma" w:cs="Tahoma"/>
          <w:bCs/>
          <w:color w:val="6297D8"/>
          <w:sz w:val="32"/>
          <w:szCs w:val="32"/>
          <w:rtl/>
        </w:rPr>
        <w:t xml:space="preserve">שם הקורס: </w:t>
      </w:r>
      <w:r w:rsidR="004E0E7C" w:rsidRPr="00C862BA">
        <w:rPr>
          <w:rFonts w:ascii="Tahoma" w:hAnsi="Tahoma" w:cs="Tahoma"/>
          <w:bCs/>
          <w:color w:val="6297D8"/>
          <w:sz w:val="32"/>
          <w:szCs w:val="32"/>
          <w:rtl/>
        </w:rPr>
        <w:t xml:space="preserve">בנים, </w:t>
      </w:r>
      <w:proofErr w:type="spellStart"/>
      <w:r w:rsidR="004E0E7C" w:rsidRPr="00C862BA">
        <w:rPr>
          <w:rFonts w:ascii="Tahoma" w:hAnsi="Tahoma" w:cs="Tahoma"/>
          <w:bCs/>
          <w:color w:val="6297D8"/>
          <w:sz w:val="32"/>
          <w:szCs w:val="32"/>
          <w:rtl/>
        </w:rPr>
        <w:t>גברויות</w:t>
      </w:r>
      <w:proofErr w:type="spellEnd"/>
      <w:r w:rsidR="004E0E7C" w:rsidRPr="00C862BA">
        <w:rPr>
          <w:rFonts w:ascii="Tahoma" w:hAnsi="Tahoma" w:cs="Tahoma"/>
          <w:bCs/>
          <w:color w:val="6297D8"/>
          <w:sz w:val="32"/>
          <w:szCs w:val="32"/>
          <w:rtl/>
        </w:rPr>
        <w:t xml:space="preserve"> וחינוך לשוויון מגדרי</w:t>
      </w:r>
    </w:p>
    <w:p w:rsidR="00C862BA" w:rsidRPr="00C862BA" w:rsidRDefault="00C862BA" w:rsidP="00376F6E">
      <w:pPr>
        <w:spacing w:line="360" w:lineRule="auto"/>
        <w:jc w:val="center"/>
        <w:rPr>
          <w:rFonts w:ascii="Tahoma" w:hAnsi="Tahoma" w:cs="Tahoma"/>
          <w:b/>
          <w:bCs/>
          <w:color w:val="6297D8"/>
          <w:sz w:val="32"/>
          <w:szCs w:val="32"/>
          <w:rtl/>
        </w:rPr>
      </w:pPr>
      <w:r w:rsidRPr="00C862BA">
        <w:rPr>
          <w:rFonts w:ascii="Tahoma" w:hAnsi="Tahoma" w:cs="Tahoma"/>
          <w:b/>
          <w:bCs/>
          <w:color w:val="6297D8"/>
          <w:sz w:val="32"/>
          <w:szCs w:val="32"/>
        </w:rPr>
        <w:t>Boys, Masculinity and Education for Gender Equality</w:t>
      </w:r>
    </w:p>
    <w:p w:rsidR="00C862BA" w:rsidRPr="00C862BA" w:rsidRDefault="00C862BA" w:rsidP="00376F6E">
      <w:pPr>
        <w:spacing w:line="360" w:lineRule="auto"/>
        <w:jc w:val="center"/>
        <w:rPr>
          <w:rFonts w:ascii="Tahoma" w:hAnsi="Tahoma" w:cs="Tahoma"/>
          <w:b/>
          <w:bCs/>
          <w:color w:val="6297D8"/>
          <w:sz w:val="32"/>
          <w:szCs w:val="32"/>
          <w:rtl/>
        </w:rPr>
      </w:pPr>
      <w:r w:rsidRPr="00C862BA">
        <w:rPr>
          <w:rFonts w:ascii="Tahoma" w:hAnsi="Tahoma" w:cs="Tahoma"/>
          <w:b/>
          <w:bCs/>
          <w:color w:val="6297D8"/>
          <w:sz w:val="32"/>
          <w:szCs w:val="32"/>
          <w:rtl/>
        </w:rPr>
        <w:t>מספר הקורס: 27-9000-01</w:t>
      </w:r>
    </w:p>
    <w:p w:rsidR="00C862BA" w:rsidRPr="00C862BA" w:rsidRDefault="00C862BA" w:rsidP="00376F6E">
      <w:pPr>
        <w:spacing w:line="360" w:lineRule="auto"/>
        <w:jc w:val="center"/>
        <w:rPr>
          <w:rFonts w:ascii="Tahoma" w:hAnsi="Tahoma" w:cs="Tahoma"/>
          <w:b/>
          <w:bCs/>
          <w:color w:val="6297D8"/>
          <w:sz w:val="32"/>
          <w:szCs w:val="32"/>
          <w:rtl/>
        </w:rPr>
      </w:pPr>
      <w:r w:rsidRPr="00C862BA">
        <w:rPr>
          <w:rFonts w:ascii="Tahoma" w:hAnsi="Tahoma" w:cs="Tahoma" w:hint="cs"/>
          <w:b/>
          <w:bCs/>
          <w:color w:val="6297D8"/>
          <w:sz w:val="32"/>
          <w:szCs w:val="32"/>
          <w:rtl/>
        </w:rPr>
        <w:t>שם המרצה: ד"ר ירון שוורץ</w:t>
      </w:r>
    </w:p>
    <w:p w:rsidR="00C862BA" w:rsidRDefault="00C862BA" w:rsidP="00C862BA">
      <w:pPr>
        <w:spacing w:line="360" w:lineRule="auto"/>
        <w:rPr>
          <w:rFonts w:ascii="Arial" w:hAnsi="Arial" w:cs="Arial"/>
          <w:color w:val="6297D8"/>
          <w:sz w:val="26"/>
          <w:szCs w:val="26"/>
          <w:rtl/>
        </w:rPr>
      </w:pPr>
      <w:r>
        <w:rPr>
          <w:rFonts w:ascii="Tahoma" w:hAnsi="Tahoma" w:cs="Tahoma" w:hint="cs"/>
          <w:color w:val="6297D8"/>
          <w:sz w:val="26"/>
          <w:szCs w:val="26"/>
          <w:rtl/>
        </w:rPr>
        <w:t xml:space="preserve">                                        </w:t>
      </w:r>
      <w:r w:rsidR="00376F6E" w:rsidRPr="00C862BA">
        <w:rPr>
          <w:rFonts w:ascii="Tahoma" w:hAnsi="Tahoma" w:cs="Tahoma"/>
          <w:b/>
          <w:bCs/>
          <w:color w:val="6297D8"/>
          <w:sz w:val="26"/>
          <w:szCs w:val="26"/>
          <w:rtl/>
        </w:rPr>
        <w:t>סוג הקורס</w:t>
      </w:r>
      <w:r w:rsidR="00376F6E" w:rsidRPr="00C862BA">
        <w:rPr>
          <w:rFonts w:ascii="Arial" w:hAnsi="Arial" w:cs="Arial"/>
          <w:color w:val="6297D8"/>
          <w:sz w:val="26"/>
          <w:szCs w:val="26"/>
          <w:rtl/>
        </w:rPr>
        <w:t>:</w:t>
      </w:r>
      <w:r w:rsidR="004E0E7C" w:rsidRPr="00C862BA">
        <w:rPr>
          <w:rFonts w:ascii="Arial" w:hAnsi="Arial" w:cs="Arial"/>
          <w:color w:val="6297D8"/>
          <w:sz w:val="26"/>
          <w:szCs w:val="26"/>
          <w:rtl/>
        </w:rPr>
        <w:t xml:space="preserve"> </w:t>
      </w:r>
      <w:r w:rsidR="004E0E7C" w:rsidRPr="00C862BA">
        <w:rPr>
          <w:rFonts w:ascii="Tahoma" w:hAnsi="Tahoma" w:cs="Tahoma"/>
          <w:color w:val="6297D8"/>
          <w:sz w:val="26"/>
          <w:szCs w:val="26"/>
          <w:rtl/>
        </w:rPr>
        <w:t>שיעור</w:t>
      </w:r>
    </w:p>
    <w:p w:rsidR="00376F6E" w:rsidRPr="00C862BA" w:rsidRDefault="00376F6E" w:rsidP="00C862BA">
      <w:pPr>
        <w:spacing w:line="360" w:lineRule="auto"/>
        <w:rPr>
          <w:rFonts w:ascii="Arial" w:hAnsi="Arial" w:cs="Arial"/>
          <w:color w:val="6297D8"/>
          <w:sz w:val="26"/>
          <w:szCs w:val="26"/>
          <w:rtl/>
        </w:rPr>
      </w:pPr>
      <w:r w:rsidRPr="00C862BA">
        <w:rPr>
          <w:rFonts w:ascii="Arial" w:hAnsi="Arial" w:cs="Arial"/>
          <w:b/>
          <w:bCs/>
          <w:color w:val="6297D8"/>
          <w:sz w:val="28"/>
          <w:szCs w:val="28"/>
          <w:rtl/>
        </w:rPr>
        <w:t>שנת לימודים</w:t>
      </w:r>
      <w:r w:rsidRPr="00C862BA">
        <w:rPr>
          <w:rFonts w:ascii="Arial" w:hAnsi="Arial" w:cs="Arial"/>
          <w:color w:val="6297D8"/>
          <w:sz w:val="28"/>
          <w:szCs w:val="28"/>
          <w:rtl/>
        </w:rPr>
        <w:t xml:space="preserve">: </w:t>
      </w:r>
      <w:r w:rsidR="008A19EF" w:rsidRPr="00C862BA">
        <w:rPr>
          <w:rFonts w:ascii="Arial" w:hAnsi="Arial" w:cs="Arial"/>
          <w:color w:val="6297D8"/>
          <w:sz w:val="28"/>
          <w:szCs w:val="28"/>
          <w:rtl/>
        </w:rPr>
        <w:t>תש</w:t>
      </w:r>
      <w:r w:rsidR="00CC3414" w:rsidRPr="00C862BA">
        <w:rPr>
          <w:rFonts w:ascii="Arial" w:hAnsi="Arial" w:cs="Arial" w:hint="cs"/>
          <w:color w:val="6297D8"/>
          <w:sz w:val="28"/>
          <w:szCs w:val="28"/>
          <w:rtl/>
        </w:rPr>
        <w:t>פ</w:t>
      </w:r>
      <w:r w:rsidR="0019786B" w:rsidRPr="00C862BA">
        <w:rPr>
          <w:rFonts w:ascii="Arial" w:hAnsi="Arial" w:cs="Arial" w:hint="cs"/>
          <w:color w:val="6297D8"/>
          <w:sz w:val="28"/>
          <w:szCs w:val="28"/>
          <w:rtl/>
        </w:rPr>
        <w:t>״א</w:t>
      </w:r>
      <w:r w:rsidR="00B85B39" w:rsidRPr="00C862BA">
        <w:rPr>
          <w:rFonts w:ascii="Arial" w:hAnsi="Arial" w:cs="Arial"/>
          <w:color w:val="6297D8"/>
          <w:sz w:val="28"/>
          <w:szCs w:val="28"/>
          <w:rtl/>
        </w:rPr>
        <w:t xml:space="preserve">  </w:t>
      </w:r>
      <w:r w:rsidRPr="00C862BA">
        <w:rPr>
          <w:rFonts w:ascii="Arial" w:hAnsi="Arial" w:cs="Arial"/>
          <w:color w:val="6297D8"/>
          <w:sz w:val="28"/>
          <w:szCs w:val="28"/>
          <w:rtl/>
        </w:rPr>
        <w:t xml:space="preserve"> </w:t>
      </w:r>
      <w:r w:rsidR="00C862BA" w:rsidRPr="00C862BA">
        <w:rPr>
          <w:rFonts w:ascii="Arial" w:hAnsi="Arial" w:cs="Arial" w:hint="cs"/>
          <w:color w:val="6297D8"/>
          <w:sz w:val="28"/>
          <w:szCs w:val="28"/>
          <w:rtl/>
        </w:rPr>
        <w:t xml:space="preserve">   </w:t>
      </w:r>
      <w:r w:rsidR="00C862BA">
        <w:rPr>
          <w:rFonts w:ascii="Arial" w:hAnsi="Arial" w:cs="Arial" w:hint="cs"/>
          <w:color w:val="6297D8"/>
          <w:sz w:val="28"/>
          <w:szCs w:val="28"/>
          <w:rtl/>
        </w:rPr>
        <w:t xml:space="preserve">         </w:t>
      </w:r>
      <w:r w:rsidR="00C862BA" w:rsidRPr="00C862BA">
        <w:rPr>
          <w:rFonts w:ascii="Arial" w:hAnsi="Arial" w:cs="Arial" w:hint="cs"/>
          <w:color w:val="6297D8"/>
          <w:sz w:val="28"/>
          <w:szCs w:val="28"/>
          <w:rtl/>
        </w:rPr>
        <w:t xml:space="preserve"> </w:t>
      </w:r>
      <w:r w:rsidRPr="00C862BA">
        <w:rPr>
          <w:rFonts w:ascii="Arial" w:hAnsi="Arial" w:cs="Arial"/>
          <w:b/>
          <w:bCs/>
          <w:color w:val="6297D8"/>
          <w:sz w:val="28"/>
          <w:szCs w:val="28"/>
          <w:rtl/>
        </w:rPr>
        <w:t>סמסטר</w:t>
      </w:r>
      <w:r w:rsidRPr="00C862BA">
        <w:rPr>
          <w:rFonts w:ascii="Arial" w:hAnsi="Arial" w:cs="Arial"/>
          <w:color w:val="6297D8"/>
          <w:sz w:val="28"/>
          <w:szCs w:val="28"/>
          <w:rtl/>
        </w:rPr>
        <w:t xml:space="preserve">: </w:t>
      </w:r>
      <w:r w:rsidR="00C862BA" w:rsidRPr="00C862BA">
        <w:rPr>
          <w:rFonts w:ascii="Arial" w:hAnsi="Arial" w:cs="Arial" w:hint="cs"/>
          <w:color w:val="6297D8"/>
          <w:sz w:val="28"/>
          <w:szCs w:val="28"/>
          <w:rtl/>
        </w:rPr>
        <w:t xml:space="preserve">ב'                         </w:t>
      </w:r>
      <w:r w:rsidRPr="00C862BA">
        <w:rPr>
          <w:rFonts w:ascii="Arial" w:hAnsi="Arial" w:cs="Arial"/>
          <w:b/>
          <w:bCs/>
          <w:color w:val="6297D8"/>
          <w:sz w:val="28"/>
          <w:szCs w:val="28"/>
          <w:rtl/>
        </w:rPr>
        <w:t>היקף שעות</w:t>
      </w:r>
      <w:r w:rsidRPr="00C862BA">
        <w:rPr>
          <w:rFonts w:ascii="Arial" w:hAnsi="Arial" w:cs="Arial"/>
          <w:color w:val="6297D8"/>
          <w:sz w:val="28"/>
          <w:szCs w:val="28"/>
          <w:rtl/>
        </w:rPr>
        <w:t xml:space="preserve">:  </w:t>
      </w:r>
      <w:r w:rsidR="00C862BA" w:rsidRPr="00C862BA">
        <w:rPr>
          <w:rFonts w:ascii="Arial" w:hAnsi="Arial" w:cs="Arial" w:hint="cs"/>
          <w:color w:val="6297D8"/>
          <w:sz w:val="28"/>
          <w:szCs w:val="28"/>
          <w:rtl/>
        </w:rPr>
        <w:t xml:space="preserve">1 </w:t>
      </w:r>
      <w:proofErr w:type="spellStart"/>
      <w:r w:rsidR="00C862BA" w:rsidRPr="00C862BA">
        <w:rPr>
          <w:rFonts w:ascii="Arial" w:hAnsi="Arial" w:cs="Arial" w:hint="cs"/>
          <w:color w:val="6297D8"/>
          <w:sz w:val="28"/>
          <w:szCs w:val="28"/>
          <w:rtl/>
        </w:rPr>
        <w:t>ש"ש</w:t>
      </w:r>
      <w:proofErr w:type="spellEnd"/>
    </w:p>
    <w:p w:rsidR="00376F6E" w:rsidRPr="00C862BA" w:rsidRDefault="00376F6E" w:rsidP="00376F6E">
      <w:pPr>
        <w:rPr>
          <w:rFonts w:ascii="Arial" w:hAnsi="Arial" w:cs="Arial"/>
          <w:sz w:val="28"/>
          <w:szCs w:val="28"/>
        </w:rPr>
      </w:pPr>
      <w:r w:rsidRPr="00C862BA">
        <w:rPr>
          <w:rFonts w:ascii="Arial" w:hAnsi="Arial" w:cs="Arial"/>
          <w:b/>
          <w:bCs/>
          <w:color w:val="6297D8"/>
          <w:sz w:val="28"/>
          <w:szCs w:val="28"/>
          <w:rtl/>
        </w:rPr>
        <w:t xml:space="preserve"> אתר הקורס באינטרנט:</w:t>
      </w:r>
      <w:r w:rsidRPr="00C862BA">
        <w:rPr>
          <w:rFonts w:ascii="Arial" w:hAnsi="Arial" w:cs="Arial"/>
          <w:color w:val="6297D8"/>
          <w:sz w:val="28"/>
          <w:szCs w:val="28"/>
          <w:rtl/>
        </w:rPr>
        <w:t xml:space="preserve">         </w:t>
      </w:r>
      <w:r w:rsidRPr="00C862BA">
        <w:rPr>
          <w:rFonts w:ascii="Arial" w:hAnsi="Arial" w:cs="Arial"/>
          <w:sz w:val="28"/>
          <w:szCs w:val="28"/>
          <w:rtl/>
        </w:rPr>
        <w:t xml:space="preserve">  </w:t>
      </w:r>
    </w:p>
    <w:p w:rsidR="00376F6E" w:rsidRPr="00C862BA" w:rsidRDefault="00376F6E" w:rsidP="00376F6E">
      <w:pPr>
        <w:spacing w:line="360" w:lineRule="auto"/>
        <w:ind w:left="26"/>
        <w:rPr>
          <w:rFonts w:ascii="Arial" w:hAnsi="Arial" w:cs="Arial"/>
          <w:sz w:val="28"/>
          <w:szCs w:val="28"/>
          <w:rtl/>
        </w:rPr>
      </w:pPr>
    </w:p>
    <w:p w:rsidR="00376F6E" w:rsidRPr="005B7A93" w:rsidRDefault="00376F6E" w:rsidP="00376F6E">
      <w:pPr>
        <w:ind w:left="26"/>
        <w:rPr>
          <w:rFonts w:ascii="Arial" w:hAnsi="Arial" w:cs="Arial"/>
          <w:b/>
          <w:bCs/>
          <w:sz w:val="26"/>
          <w:szCs w:val="26"/>
          <w:rtl/>
        </w:rPr>
      </w:pPr>
      <w:bookmarkStart w:id="0" w:name="_GoBack"/>
      <w:bookmarkEnd w:id="0"/>
      <w:r w:rsidRPr="005B7A93">
        <w:rPr>
          <w:rFonts w:ascii="Arial" w:hAnsi="Arial" w:cs="Arial"/>
          <w:b/>
          <w:bCs/>
          <w:sz w:val="26"/>
          <w:szCs w:val="26"/>
          <w:rtl/>
        </w:rPr>
        <w:t xml:space="preserve">א. </w:t>
      </w:r>
      <w:r w:rsidRPr="005B7A93">
        <w:rPr>
          <w:rFonts w:ascii="Arial" w:hAnsi="Arial" w:cs="Arial"/>
          <w:b/>
          <w:bCs/>
          <w:color w:val="0000FF"/>
          <w:sz w:val="26"/>
          <w:szCs w:val="26"/>
          <w:rtl/>
        </w:rPr>
        <w:t>מטרות הקורס</w:t>
      </w:r>
      <w:r w:rsidRPr="005B7A93">
        <w:rPr>
          <w:rFonts w:ascii="Arial" w:hAnsi="Arial" w:cs="Arial"/>
          <w:b/>
          <w:bCs/>
          <w:sz w:val="26"/>
          <w:szCs w:val="26"/>
          <w:rtl/>
        </w:rPr>
        <w:t xml:space="preserve"> (מטרות על / מטרות ספציפיות):</w:t>
      </w:r>
    </w:p>
    <w:p w:rsidR="00376F6E" w:rsidRPr="005B7A93" w:rsidRDefault="00376F6E" w:rsidP="00376F6E">
      <w:pPr>
        <w:ind w:left="26"/>
        <w:rPr>
          <w:rFonts w:ascii="Arial" w:hAnsi="Arial" w:cs="Arial"/>
          <w:b/>
          <w:bCs/>
          <w:sz w:val="26"/>
          <w:szCs w:val="26"/>
          <w:rtl/>
        </w:rPr>
      </w:pPr>
    </w:p>
    <w:p w:rsidR="004E0E7C" w:rsidRPr="005B7A93" w:rsidRDefault="004E0E7C" w:rsidP="004E0E7C">
      <w:pPr>
        <w:spacing w:line="360" w:lineRule="auto"/>
        <w:ind w:left="26"/>
        <w:jc w:val="both"/>
        <w:rPr>
          <w:rFonts w:ascii="Arial" w:eastAsia=".SFUIText" w:hAnsi="Arial" w:cs="Arial"/>
          <w:color w:val="000000"/>
          <w:rtl/>
        </w:rPr>
      </w:pPr>
      <w:r w:rsidRPr="005B7A93">
        <w:rPr>
          <w:rFonts w:ascii="Arial" w:eastAsia=".SFUIText" w:hAnsi="Arial" w:cs="Arial"/>
          <w:color w:val="000000"/>
          <w:rtl/>
        </w:rPr>
        <w:t>הסטודנטים/</w:t>
      </w:r>
      <w:proofErr w:type="spellStart"/>
      <w:r w:rsidRPr="005B7A93">
        <w:rPr>
          <w:rFonts w:ascii="Arial" w:eastAsia=".SFUIText" w:hAnsi="Arial" w:cs="Arial"/>
          <w:color w:val="000000"/>
          <w:rtl/>
        </w:rPr>
        <w:t>ות</w:t>
      </w:r>
      <w:proofErr w:type="spellEnd"/>
      <w:r w:rsidRPr="005B7A93">
        <w:rPr>
          <w:rFonts w:ascii="Arial" w:eastAsia=".SFUIText" w:hAnsi="Arial" w:cs="Arial"/>
          <w:color w:val="000000"/>
          <w:rtl/>
        </w:rPr>
        <w:t xml:space="preserve"> ילמדו תיאוריות </w:t>
      </w:r>
      <w:proofErr w:type="spellStart"/>
      <w:r w:rsidRPr="005B7A93">
        <w:rPr>
          <w:rFonts w:ascii="Arial" w:eastAsia=".SFUIText" w:hAnsi="Arial" w:cs="Arial"/>
          <w:color w:val="000000"/>
          <w:rtl/>
        </w:rPr>
        <w:t>ופרקטיקות</w:t>
      </w:r>
      <w:proofErr w:type="spellEnd"/>
      <w:r w:rsidRPr="005B7A93">
        <w:rPr>
          <w:rFonts w:ascii="Arial" w:eastAsia=".SFUIText" w:hAnsi="Arial" w:cs="Arial"/>
          <w:color w:val="000000"/>
          <w:rtl/>
        </w:rPr>
        <w:t xml:space="preserve"> מתחו</w:t>
      </w:r>
      <w:r w:rsidR="0019786B">
        <w:rPr>
          <w:rFonts w:ascii="Arial" w:eastAsia=".SFUIText" w:hAnsi="Arial" w:cs="Arial" w:hint="cs"/>
          <w:color w:val="000000"/>
          <w:rtl/>
        </w:rPr>
        <w:t>מי</w:t>
      </w:r>
      <w:r w:rsidRPr="005B7A93">
        <w:rPr>
          <w:rFonts w:ascii="Arial" w:eastAsia=".SFUIText" w:hAnsi="Arial" w:cs="Arial"/>
          <w:color w:val="000000"/>
          <w:rtl/>
        </w:rPr>
        <w:t xml:space="preserve"> המחקר </w:t>
      </w:r>
      <w:r w:rsidR="0019786B">
        <w:rPr>
          <w:rFonts w:ascii="Arial" w:eastAsia=".SFUIText" w:hAnsi="Arial" w:cs="Arial" w:hint="cs"/>
          <w:color w:val="000000"/>
          <w:rtl/>
        </w:rPr>
        <w:t xml:space="preserve">החדשניים והייחודיים המשלבים בין ״המחקר הביקורתי על גברים </w:t>
      </w:r>
      <w:proofErr w:type="spellStart"/>
      <w:r w:rsidR="0019786B">
        <w:rPr>
          <w:rFonts w:ascii="Arial" w:eastAsia=".SFUIText" w:hAnsi="Arial" w:cs="Arial" w:hint="cs"/>
          <w:color w:val="000000"/>
          <w:rtl/>
        </w:rPr>
        <w:t>וגברויות</w:t>
      </w:r>
      <w:proofErr w:type="spellEnd"/>
      <w:r w:rsidR="0019786B">
        <w:rPr>
          <w:rFonts w:ascii="Arial" w:eastAsia=".SFUIText" w:hAnsi="Arial" w:cs="Arial" w:hint="cs"/>
          <w:color w:val="000000"/>
          <w:rtl/>
        </w:rPr>
        <w:t>״ (</w:t>
      </w:r>
      <w:r w:rsidR="0019786B">
        <w:rPr>
          <w:rFonts w:ascii="Arial" w:eastAsia=".SFUIText" w:hAnsi="Arial" w:cs="Arial"/>
          <w:color w:val="000000"/>
        </w:rPr>
        <w:t>CSMM – Critical Studies on man and masculinities</w:t>
      </w:r>
      <w:r w:rsidR="0019786B">
        <w:rPr>
          <w:rFonts w:ascii="Arial" w:eastAsia=".SFUIText" w:hAnsi="Arial" w:cs="Arial" w:hint="cs"/>
          <w:color w:val="000000"/>
          <w:rtl/>
        </w:rPr>
        <w:t>),</w:t>
      </w:r>
      <w:r w:rsidRPr="005B7A93">
        <w:rPr>
          <w:rFonts w:ascii="Arial" w:eastAsia=".SFUIText" w:hAnsi="Arial" w:cs="Arial"/>
          <w:color w:val="000000"/>
          <w:rtl/>
        </w:rPr>
        <w:t xml:space="preserve"> חינוך</w:t>
      </w:r>
      <w:r w:rsidR="00CC3414">
        <w:rPr>
          <w:rFonts w:ascii="Arial" w:eastAsia=".SFUIText" w:hAnsi="Arial" w:cs="Arial" w:hint="cs"/>
          <w:color w:val="000000"/>
          <w:rtl/>
        </w:rPr>
        <w:t xml:space="preserve"> לשוויון מגדרי</w:t>
      </w:r>
      <w:r w:rsidRPr="005B7A93">
        <w:rPr>
          <w:rFonts w:ascii="Arial" w:eastAsia=".SFUIText" w:hAnsi="Arial" w:cs="Arial"/>
          <w:color w:val="000000"/>
          <w:rtl/>
        </w:rPr>
        <w:t>,</w:t>
      </w:r>
      <w:r w:rsidR="0019786B">
        <w:rPr>
          <w:rFonts w:ascii="Arial" w:eastAsia=".SFUIText" w:hAnsi="Arial" w:cs="Arial" w:hint="cs"/>
          <w:color w:val="000000"/>
          <w:rtl/>
        </w:rPr>
        <w:t xml:space="preserve"> ו-״חקר תוכניות התערבות-מגדריות-טרנספורמטיביות״. השילוב בין שלושת תחומי המחקר הללו יאפשר לחקור תהליכי התערבות ראשונית, שניוניות ושלישונית עם נערים, בנוגע ליחסם לשוויון מגדרי, אלימות מגדרית ומניעת אלימות נגד נערות ונשים. בנוסף, נלמד כיצד מערכת ההוראה מתמודדת כיום עם מפרספקטיבה מגדרית עם נושאים כגון: החלוקה למקצועות הלימוד, אי-שוויון בספרי הלימוד, </w:t>
      </w:r>
      <w:r w:rsidRPr="005B7A93">
        <w:rPr>
          <w:rFonts w:ascii="Arial" w:eastAsia=".SFUIText" w:hAnsi="Arial" w:cs="Arial"/>
          <w:color w:val="000000"/>
          <w:rtl/>
        </w:rPr>
        <w:t xml:space="preserve">משמעת, ביטוי רגשי, דימוי גוף, הומופוביה, </w:t>
      </w:r>
      <w:r w:rsidR="0019786B">
        <w:rPr>
          <w:rFonts w:ascii="Arial" w:eastAsia=".SFUIText" w:hAnsi="Arial" w:cs="Arial" w:hint="cs"/>
          <w:color w:val="000000"/>
          <w:rtl/>
        </w:rPr>
        <w:t xml:space="preserve">היחס </w:t>
      </w:r>
      <w:r w:rsidRPr="005B7A93">
        <w:rPr>
          <w:rFonts w:ascii="Arial" w:eastAsia=".SFUIText" w:hAnsi="Arial" w:cs="Arial"/>
          <w:color w:val="000000"/>
          <w:rtl/>
        </w:rPr>
        <w:t>פורנוגרפיה, ספורט</w:t>
      </w:r>
      <w:r w:rsidR="00CC3414">
        <w:rPr>
          <w:rFonts w:ascii="Arial" w:eastAsia=".SFUIText" w:hAnsi="Arial" w:cs="Arial" w:hint="cs"/>
          <w:color w:val="000000"/>
          <w:rtl/>
        </w:rPr>
        <w:t>, התנהגויות מיניות</w:t>
      </w:r>
      <w:r w:rsidRPr="005B7A93">
        <w:rPr>
          <w:rFonts w:ascii="Arial" w:eastAsia=".SFUIText" w:hAnsi="Arial" w:cs="Arial"/>
          <w:color w:val="000000"/>
          <w:rtl/>
        </w:rPr>
        <w:t xml:space="preserve"> ועוד.</w:t>
      </w:r>
    </w:p>
    <w:p w:rsidR="00376F6E" w:rsidRPr="005B7A93" w:rsidRDefault="00376F6E" w:rsidP="00376F6E">
      <w:pPr>
        <w:ind w:left="226" w:firstLine="26"/>
        <w:rPr>
          <w:rFonts w:ascii="Arial" w:hAnsi="Arial" w:cs="Arial"/>
          <w:b/>
          <w:bCs/>
          <w:sz w:val="26"/>
          <w:szCs w:val="26"/>
        </w:rPr>
      </w:pPr>
    </w:p>
    <w:p w:rsidR="00376F6E" w:rsidRPr="005B7A93" w:rsidRDefault="00376F6E" w:rsidP="00376F6E">
      <w:pPr>
        <w:ind w:left="26"/>
        <w:rPr>
          <w:rFonts w:ascii="Arial" w:hAnsi="Arial" w:cs="Arial"/>
          <w:rtl/>
        </w:rPr>
      </w:pPr>
      <w:r w:rsidRPr="005B7A93">
        <w:rPr>
          <w:rFonts w:ascii="Arial" w:hAnsi="Arial" w:cs="Arial"/>
          <w:b/>
          <w:bCs/>
          <w:sz w:val="26"/>
          <w:szCs w:val="26"/>
          <w:rtl/>
        </w:rPr>
        <w:t xml:space="preserve">ב. </w:t>
      </w:r>
      <w:r w:rsidRPr="005B7A93">
        <w:rPr>
          <w:rFonts w:ascii="Arial" w:hAnsi="Arial" w:cs="Arial"/>
          <w:b/>
          <w:bCs/>
          <w:color w:val="0000FF"/>
          <w:sz w:val="26"/>
          <w:szCs w:val="26"/>
          <w:rtl/>
        </w:rPr>
        <w:t>תוכן הקורס</w:t>
      </w:r>
      <w:r w:rsidRPr="005B7A93">
        <w:rPr>
          <w:rFonts w:ascii="Arial" w:hAnsi="Arial" w:cs="Arial"/>
          <w:b/>
          <w:bCs/>
          <w:sz w:val="26"/>
          <w:szCs w:val="26"/>
          <w:rtl/>
        </w:rPr>
        <w:t>:</w:t>
      </w:r>
      <w:r w:rsidRPr="005B7A93">
        <w:rPr>
          <w:rFonts w:ascii="Arial" w:hAnsi="Arial" w:cs="Arial"/>
          <w:rtl/>
        </w:rPr>
        <w:t xml:space="preserve"> (רציונל, נושאים)</w:t>
      </w:r>
    </w:p>
    <w:p w:rsidR="00B85B39" w:rsidRPr="005B7A93" w:rsidRDefault="00B85B39" w:rsidP="00376F6E">
      <w:pPr>
        <w:ind w:left="26"/>
        <w:rPr>
          <w:rFonts w:ascii="Arial" w:hAnsi="Arial" w:cs="Arial"/>
        </w:rPr>
      </w:pPr>
    </w:p>
    <w:p w:rsidR="004E0E7C" w:rsidRPr="005B7A93" w:rsidRDefault="004E0E7C" w:rsidP="00173F41">
      <w:pPr>
        <w:widowControl w:val="0"/>
        <w:autoSpaceDE w:val="0"/>
        <w:autoSpaceDN w:val="0"/>
        <w:adjustRightInd w:val="0"/>
        <w:spacing w:line="360" w:lineRule="auto"/>
        <w:jc w:val="both"/>
        <w:rPr>
          <w:rFonts w:ascii="Arial" w:eastAsia=".SFUIText" w:hAnsi="Arial" w:cs="Arial"/>
          <w:color w:val="000000"/>
        </w:rPr>
      </w:pPr>
      <w:r w:rsidRPr="005B7A93">
        <w:rPr>
          <w:rFonts w:ascii="Arial" w:eastAsia=".SFUIText" w:hAnsi="Arial" w:cs="Arial"/>
          <w:color w:val="000000"/>
          <w:rtl/>
        </w:rPr>
        <w:t xml:space="preserve">בשנת 1972 נוסח תיקון ייחודי לחוקה האמריקאית לפיו כל המוסדות החינוכיים החל מהגן וכלה באקדמיה מחויבים לשמור על חינוך שוויוני בין תלמידים ותלמידות, אחרת, תישלל מהם האפשרות לקבלת מימון פדרלי. למרות זאת, מאז ועד היום עדיין כמעט ולא ניתן למצוא בתי ספר אשר מקפידים על שוויון מגדרי כמוטיב פדגוגי מרכזי. </w:t>
      </w:r>
      <w:r w:rsidR="00173F41" w:rsidRPr="005B7A93">
        <w:rPr>
          <w:rFonts w:ascii="Arial" w:eastAsia=".SFUIText" w:hAnsi="Arial" w:cs="Arial"/>
          <w:color w:val="000000"/>
          <w:rtl/>
        </w:rPr>
        <w:t>לעומת זאת,</w:t>
      </w:r>
      <w:r w:rsidR="00173F41" w:rsidRPr="005B7A93">
        <w:rPr>
          <w:rFonts w:ascii="Arial" w:eastAsia=".SFUIText" w:hAnsi="Arial" w:cs="Arial" w:hint="cs"/>
          <w:color w:val="000000"/>
          <w:rtl/>
        </w:rPr>
        <w:t xml:space="preserve"> </w:t>
      </w:r>
      <w:r w:rsidRPr="005B7A93">
        <w:rPr>
          <w:rFonts w:ascii="Arial" w:eastAsia=".SFUIText" w:hAnsi="Arial" w:cs="Arial"/>
          <w:color w:val="000000"/>
          <w:rtl/>
        </w:rPr>
        <w:t xml:space="preserve">המחקר האקדמי בנוגע לחינוך ומגדר התפתח לממדים רחבים ומכובדים, אך רובו עוסק </w:t>
      </w:r>
      <w:r w:rsidR="00173F41" w:rsidRPr="00173F41">
        <w:rPr>
          <w:rFonts w:ascii="Arial" w:eastAsia=".SFUIText" w:hAnsi="Arial" w:cs="Arial"/>
          <w:color w:val="000000"/>
          <w:rtl/>
        </w:rPr>
        <w:t xml:space="preserve">בעיקר ביחס לבנות ונערות </w:t>
      </w:r>
      <w:r w:rsidR="00173F41">
        <w:rPr>
          <w:rFonts w:ascii="Arial" w:eastAsia=".SFUIText" w:hAnsi="Arial" w:cs="Arial" w:hint="cs"/>
          <w:color w:val="000000"/>
          <w:rtl/>
        </w:rPr>
        <w:t>ו</w:t>
      </w:r>
      <w:r w:rsidRPr="005B7A93">
        <w:rPr>
          <w:rFonts w:ascii="Arial" w:eastAsia=".SFUIText" w:hAnsi="Arial" w:cs="Arial"/>
          <w:color w:val="000000"/>
          <w:rtl/>
        </w:rPr>
        <w:t xml:space="preserve">במיפוי שיטתי של הכשלים והליקויים המגדריים במערכות </w:t>
      </w:r>
      <w:r w:rsidR="00173F41" w:rsidRPr="005B7A93">
        <w:rPr>
          <w:rFonts w:ascii="Arial" w:eastAsia=".SFUIText" w:hAnsi="Arial" w:cs="Arial"/>
          <w:color w:val="000000"/>
          <w:rtl/>
        </w:rPr>
        <w:t>חינוכיות</w:t>
      </w:r>
      <w:r w:rsidR="00173F41" w:rsidRPr="005B7A93">
        <w:rPr>
          <w:rFonts w:ascii="Arial" w:eastAsia=".SFUIText" w:hAnsi="Arial" w:cs="Arial" w:hint="cs"/>
          <w:color w:val="000000"/>
          <w:rtl/>
        </w:rPr>
        <w:t xml:space="preserve"> </w:t>
      </w:r>
      <w:r w:rsidRPr="005B7A93">
        <w:rPr>
          <w:rFonts w:ascii="Arial" w:eastAsia=".SFUIText" w:hAnsi="Arial" w:cs="Arial"/>
          <w:color w:val="000000"/>
          <w:rtl/>
        </w:rPr>
        <w:t xml:space="preserve">– אך מה לגבי מקומם וחשיבותם של בנים ונערים בתהליך?    </w:t>
      </w:r>
    </w:p>
    <w:p w:rsidR="004E0E7C" w:rsidRPr="005B7A93" w:rsidRDefault="004E0E7C" w:rsidP="0019786B">
      <w:pPr>
        <w:widowControl w:val="0"/>
        <w:autoSpaceDE w:val="0"/>
        <w:autoSpaceDN w:val="0"/>
        <w:adjustRightInd w:val="0"/>
        <w:spacing w:line="360" w:lineRule="auto"/>
        <w:jc w:val="both"/>
        <w:rPr>
          <w:rFonts w:ascii="Arial" w:eastAsia=".SFUIText" w:hAnsi="Arial" w:cs="Arial"/>
          <w:color w:val="000000"/>
        </w:rPr>
      </w:pPr>
      <w:r w:rsidRPr="005B7A93">
        <w:rPr>
          <w:rFonts w:ascii="Arial" w:eastAsia=".SFUIText" w:hAnsi="Arial" w:cs="Arial"/>
          <w:color w:val="000000"/>
          <w:rtl/>
        </w:rPr>
        <w:t xml:space="preserve">קורס זה מבקש לעסוק בהשפעת מערכות החינוך השונות על מגדור הבנים, תוך הצגת המורכבויות הפוליטיות והאידאולוגיות שמוסדות חינוך מתמודדים עמם בהקשר זה, ובבחינת האפשרות של שילובם כחלק בלתי נפרד במהלכים חדשים של שינוי תפיסות מגדריות נורמטיביות. </w:t>
      </w:r>
      <w:r w:rsidR="00173F41" w:rsidRPr="005B7A93">
        <w:rPr>
          <w:rFonts w:ascii="Arial" w:eastAsia=".SFUIText" w:hAnsi="Arial" w:cs="Arial" w:hint="cs"/>
          <w:color w:val="000000"/>
          <w:rtl/>
        </w:rPr>
        <w:t xml:space="preserve">דילמות שכאלו ילמדו </w:t>
      </w:r>
      <w:r w:rsidRPr="005B7A93">
        <w:rPr>
          <w:rFonts w:ascii="Arial" w:eastAsia=".SFUIText" w:hAnsi="Arial" w:cs="Arial"/>
          <w:color w:val="000000"/>
          <w:rtl/>
        </w:rPr>
        <w:lastRenderedPageBreak/>
        <w:t xml:space="preserve">בפרספקטיבה גלובלית </w:t>
      </w:r>
      <w:r w:rsidR="00173F41" w:rsidRPr="005B7A93">
        <w:rPr>
          <w:rFonts w:ascii="Arial" w:eastAsia=".SFUIText" w:hAnsi="Arial" w:cs="Arial" w:hint="cs"/>
          <w:color w:val="000000"/>
          <w:rtl/>
        </w:rPr>
        <w:t>ו</w:t>
      </w:r>
      <w:r w:rsidRPr="005B7A93">
        <w:rPr>
          <w:rFonts w:ascii="Arial" w:eastAsia=".SFUIText" w:hAnsi="Arial" w:cs="Arial"/>
          <w:color w:val="000000"/>
          <w:rtl/>
        </w:rPr>
        <w:t xml:space="preserve">רב-תרבותית, </w:t>
      </w:r>
      <w:r w:rsidR="0019786B">
        <w:rPr>
          <w:rFonts w:ascii="Arial" w:eastAsia=".SFUIText" w:hAnsi="Arial" w:cs="Arial" w:hint="cs"/>
          <w:color w:val="000000"/>
          <w:rtl/>
        </w:rPr>
        <w:t xml:space="preserve">מתוך עיון אקדמי-ביקורתי בתוכניות התערבות חינוכיות שנועדו להכשיר בנים ונערים להפוך לגברים שיודעים להזדהות ולהתייחס לשלל הנושאים הנקשרים לשוויון מגדרי, הצטלבויות, גזע, מעמד ועוד. בנוסף, נתייחס להקשר </w:t>
      </w:r>
      <w:r w:rsidRPr="005B7A93">
        <w:rPr>
          <w:rFonts w:ascii="Arial" w:eastAsia=".SFUIText" w:hAnsi="Arial" w:cs="Arial"/>
          <w:color w:val="000000"/>
          <w:rtl/>
        </w:rPr>
        <w:t>המקומי-ישראלי בדגש על השיקולים של היחסים בין החינוך</w:t>
      </w:r>
      <w:r w:rsidR="0019786B">
        <w:rPr>
          <w:rFonts w:ascii="Arial" w:eastAsia=".SFUIText" w:hAnsi="Arial" w:cs="Arial" w:hint="cs"/>
          <w:color w:val="000000"/>
          <w:rtl/>
        </w:rPr>
        <w:t xml:space="preserve"> לשוויו מגדרי מול הרצון </w:t>
      </w:r>
      <w:r w:rsidR="00EE6B8C">
        <w:rPr>
          <w:rFonts w:ascii="Arial" w:eastAsia=".SFUIText" w:hAnsi="Arial" w:cs="Arial" w:hint="cs"/>
          <w:color w:val="000000"/>
          <w:rtl/>
        </w:rPr>
        <w:t xml:space="preserve">של חלק ממוסדות הלימוד לשמר את המסורת, </w:t>
      </w:r>
      <w:r w:rsidRPr="005B7A93">
        <w:rPr>
          <w:rFonts w:ascii="Arial" w:eastAsia=".SFUIText" w:hAnsi="Arial" w:cs="Arial"/>
          <w:color w:val="000000"/>
          <w:rtl/>
        </w:rPr>
        <w:t>ולחובת השירות הצבאי.</w:t>
      </w:r>
    </w:p>
    <w:p w:rsidR="00B85B39" w:rsidRPr="005B7A93" w:rsidRDefault="00B85B39" w:rsidP="004E0E7C">
      <w:pPr>
        <w:rPr>
          <w:rFonts w:ascii="Arial" w:hAnsi="Arial" w:cs="Arial"/>
        </w:rPr>
      </w:pPr>
    </w:p>
    <w:p w:rsidR="00376F6E" w:rsidRPr="005B7A93" w:rsidRDefault="00376F6E" w:rsidP="00376F6E">
      <w:pPr>
        <w:ind w:left="26"/>
        <w:rPr>
          <w:rFonts w:ascii="Arial" w:hAnsi="Arial" w:cs="Arial"/>
        </w:rPr>
      </w:pPr>
    </w:p>
    <w:p w:rsidR="00173F41" w:rsidRPr="005B7A93" w:rsidRDefault="00376F6E" w:rsidP="00173F41">
      <w:pPr>
        <w:ind w:left="26"/>
        <w:rPr>
          <w:rFonts w:ascii="Arial" w:hAnsi="Arial" w:cs="Arial"/>
          <w:rtl/>
        </w:rPr>
      </w:pPr>
      <w:r w:rsidRPr="005B7A93">
        <w:rPr>
          <w:rFonts w:ascii="Arial" w:hAnsi="Arial" w:cs="Arial"/>
          <w:b/>
          <w:bCs/>
          <w:sz w:val="26"/>
          <w:szCs w:val="26"/>
          <w:rtl/>
        </w:rPr>
        <w:t xml:space="preserve">    מהלך השיעורים:</w:t>
      </w:r>
      <w:r w:rsidR="00173F41" w:rsidRPr="005B7A93">
        <w:rPr>
          <w:rFonts w:ascii="Arial" w:hAnsi="Arial" w:cs="Arial" w:hint="cs"/>
          <w:rtl/>
        </w:rPr>
        <w:t xml:space="preserve"> </w:t>
      </w:r>
      <w:r w:rsidR="00173F41" w:rsidRPr="005B7A93">
        <w:rPr>
          <w:rFonts w:ascii="Arial" w:hAnsi="Arial" w:cs="Arial" w:hint="cs"/>
          <w:sz w:val="26"/>
          <w:szCs w:val="26"/>
          <w:rtl/>
        </w:rPr>
        <w:t>הרצאות פרונטליות וצפייה בסרטונים כמטלות בית</w:t>
      </w:r>
    </w:p>
    <w:p w:rsidR="00376F6E" w:rsidRPr="005B7A93" w:rsidRDefault="00E30577" w:rsidP="00376F6E">
      <w:pPr>
        <w:ind w:left="26"/>
        <w:rPr>
          <w:rFonts w:ascii="Arial" w:hAnsi="Arial" w:cs="Arial"/>
        </w:rPr>
      </w:pPr>
      <w:r w:rsidRPr="005B7A93">
        <w:rPr>
          <w:rFonts w:ascii="Arial" w:hAnsi="Arial" w:cs="Arial"/>
          <w:rtl/>
        </w:rPr>
        <w:tab/>
      </w:r>
    </w:p>
    <w:p w:rsidR="00376F6E" w:rsidRPr="005B7A93" w:rsidRDefault="00376F6E" w:rsidP="00376F6E">
      <w:pPr>
        <w:ind w:left="26"/>
        <w:rPr>
          <w:rFonts w:ascii="Arial" w:hAnsi="Arial" w:cs="Arial"/>
          <w:rtl/>
        </w:rPr>
      </w:pPr>
      <w:r w:rsidRPr="005B7A93">
        <w:rPr>
          <w:rFonts w:ascii="Arial" w:hAnsi="Arial" w:cs="Arial"/>
          <w:b/>
          <w:bCs/>
          <w:rtl/>
        </w:rPr>
        <w:t xml:space="preserve">    תכנית הוראה מפורטת לכל השיעורים: </w:t>
      </w:r>
      <w:r w:rsidRPr="005B7A93">
        <w:rPr>
          <w:rFonts w:ascii="Arial" w:hAnsi="Arial" w:cs="Arial"/>
          <w:rtl/>
        </w:rPr>
        <w:t xml:space="preserve">(רשימה או טבלה כדוגמת </w:t>
      </w:r>
      <w:proofErr w:type="spellStart"/>
      <w:r w:rsidRPr="005B7A93">
        <w:rPr>
          <w:rFonts w:ascii="Arial" w:hAnsi="Arial" w:cs="Arial"/>
          <w:rtl/>
        </w:rPr>
        <w:t>המצ"ב</w:t>
      </w:r>
      <w:proofErr w:type="spellEnd"/>
      <w:r w:rsidRPr="005B7A93">
        <w:rPr>
          <w:rFonts w:ascii="Arial" w:hAnsi="Arial" w:cs="Arial"/>
          <w:rtl/>
        </w:rPr>
        <w:t>)</w:t>
      </w:r>
    </w:p>
    <w:p w:rsidR="00376F6E" w:rsidRPr="005B7A93" w:rsidRDefault="00376F6E" w:rsidP="00173F41">
      <w:pPr>
        <w:spacing w:line="360" w:lineRule="auto"/>
        <w:rPr>
          <w:rFonts w:ascii="Arial" w:hAnsi="Arial" w:cs="Arial"/>
        </w:rPr>
      </w:pPr>
    </w:p>
    <w:p w:rsidR="0073298E" w:rsidRPr="005B7A93" w:rsidRDefault="0073298E" w:rsidP="00EE6B8C">
      <w:pPr>
        <w:numPr>
          <w:ilvl w:val="0"/>
          <w:numId w:val="2"/>
        </w:numPr>
        <w:spacing w:line="360" w:lineRule="auto"/>
        <w:rPr>
          <w:rFonts w:ascii="Arial" w:hAnsi="Arial" w:cs="Arial"/>
        </w:rPr>
      </w:pPr>
      <w:r w:rsidRPr="005B7A93">
        <w:rPr>
          <w:rFonts w:ascii="Arial" w:hAnsi="Arial" w:cs="Arial"/>
          <w:rtl/>
        </w:rPr>
        <w:t>מבוא לתחום המחקר של מגדר וחינוך לגבריות</w:t>
      </w:r>
    </w:p>
    <w:p w:rsidR="0073298E" w:rsidRPr="005B7A93" w:rsidRDefault="0073298E" w:rsidP="00EE6B8C">
      <w:pPr>
        <w:numPr>
          <w:ilvl w:val="0"/>
          <w:numId w:val="2"/>
        </w:numPr>
        <w:spacing w:line="360" w:lineRule="auto"/>
        <w:rPr>
          <w:rFonts w:ascii="Arial" w:hAnsi="Arial" w:cs="Arial"/>
        </w:rPr>
      </w:pPr>
      <w:r w:rsidRPr="005B7A93">
        <w:rPr>
          <w:rFonts w:ascii="Arial" w:hAnsi="Arial" w:cs="Arial"/>
          <w:rtl/>
        </w:rPr>
        <w:t>מדיניות גלובלית של חינוך בנים ונערים בפרספקטיבה רב תרבותית וגלובלית</w:t>
      </w:r>
    </w:p>
    <w:p w:rsidR="0073298E" w:rsidRPr="005B7A93" w:rsidRDefault="0073298E" w:rsidP="00EE6B8C">
      <w:pPr>
        <w:numPr>
          <w:ilvl w:val="0"/>
          <w:numId w:val="2"/>
        </w:numPr>
        <w:spacing w:line="360" w:lineRule="auto"/>
        <w:rPr>
          <w:rFonts w:ascii="Arial" w:hAnsi="Arial" w:cs="Arial"/>
        </w:rPr>
      </w:pPr>
      <w:r w:rsidRPr="005B7A93">
        <w:rPr>
          <w:rFonts w:ascii="Arial" w:hAnsi="Arial" w:cs="Arial"/>
          <w:rtl/>
        </w:rPr>
        <w:t>פיתוח חשיבה מחקרית מתודולוגית לחקר מגדר וחינוך נערים</w:t>
      </w:r>
    </w:p>
    <w:p w:rsidR="0073298E" w:rsidRPr="005B7A93" w:rsidRDefault="0073298E" w:rsidP="00EE6B8C">
      <w:pPr>
        <w:numPr>
          <w:ilvl w:val="0"/>
          <w:numId w:val="2"/>
        </w:numPr>
        <w:spacing w:line="360" w:lineRule="auto"/>
        <w:rPr>
          <w:rFonts w:ascii="Arial" w:hAnsi="Arial" w:cs="Arial"/>
        </w:rPr>
      </w:pPr>
      <w:r w:rsidRPr="005B7A93">
        <w:rPr>
          <w:rFonts w:ascii="Arial" w:hAnsi="Arial" w:cs="Arial"/>
          <w:rtl/>
        </w:rPr>
        <w:t>חינוך בנים לגבריות בגיל הרך</w:t>
      </w:r>
      <w:r w:rsidR="00EE6B8C">
        <w:rPr>
          <w:rFonts w:ascii="Arial" w:hAnsi="Arial" w:cs="Arial" w:hint="cs"/>
          <w:rtl/>
        </w:rPr>
        <w:t xml:space="preserve"> ובבית הספר היסודי</w:t>
      </w:r>
    </w:p>
    <w:p w:rsidR="0073298E" w:rsidRPr="005B7A93" w:rsidRDefault="0073298E" w:rsidP="00EE6B8C">
      <w:pPr>
        <w:numPr>
          <w:ilvl w:val="0"/>
          <w:numId w:val="2"/>
        </w:numPr>
        <w:spacing w:line="360" w:lineRule="auto"/>
        <w:rPr>
          <w:rFonts w:ascii="Arial" w:hAnsi="Arial" w:cs="Arial"/>
        </w:rPr>
      </w:pPr>
      <w:r w:rsidRPr="005B7A93">
        <w:rPr>
          <w:rFonts w:ascii="Arial" w:hAnsi="Arial" w:cs="Arial"/>
          <w:rtl/>
        </w:rPr>
        <w:t>חינוך נערים לגבריות בחטיבות ביניים ובתיכונים</w:t>
      </w:r>
    </w:p>
    <w:p w:rsidR="0073298E" w:rsidRPr="005B7A93" w:rsidRDefault="0073298E" w:rsidP="00EE6B8C">
      <w:pPr>
        <w:numPr>
          <w:ilvl w:val="0"/>
          <w:numId w:val="2"/>
        </w:numPr>
        <w:spacing w:line="360" w:lineRule="auto"/>
        <w:rPr>
          <w:rFonts w:ascii="Arial" w:hAnsi="Arial" w:cs="Arial"/>
        </w:rPr>
      </w:pPr>
      <w:r w:rsidRPr="005B7A93">
        <w:rPr>
          <w:rFonts w:ascii="Arial" w:hAnsi="Arial" w:cs="Arial"/>
          <w:rtl/>
        </w:rPr>
        <w:t>משמעת, עונשים וחינוך למיליטריזם</w:t>
      </w:r>
    </w:p>
    <w:p w:rsidR="0073298E" w:rsidRPr="005B7A93" w:rsidRDefault="0073298E" w:rsidP="00EE6B8C">
      <w:pPr>
        <w:numPr>
          <w:ilvl w:val="0"/>
          <w:numId w:val="2"/>
        </w:numPr>
        <w:spacing w:line="360" w:lineRule="auto"/>
        <w:rPr>
          <w:rFonts w:ascii="Arial" w:hAnsi="Arial" w:cs="Arial"/>
        </w:rPr>
      </w:pPr>
      <w:r w:rsidRPr="005B7A93">
        <w:rPr>
          <w:rFonts w:ascii="Arial" w:hAnsi="Arial" w:cs="Arial"/>
          <w:rtl/>
        </w:rPr>
        <w:t>חינוך בנים ונערים בישראל לגבריות במבט רב תרבותי (חילוני/דתי/יהודי/ערבי)</w:t>
      </w:r>
    </w:p>
    <w:p w:rsidR="0073298E" w:rsidRPr="00EE6B8C" w:rsidRDefault="00EE6B8C" w:rsidP="00EE6B8C">
      <w:pPr>
        <w:numPr>
          <w:ilvl w:val="0"/>
          <w:numId w:val="2"/>
        </w:numPr>
        <w:spacing w:line="360" w:lineRule="auto"/>
        <w:rPr>
          <w:rFonts w:ascii="Arial" w:hAnsi="Arial" w:cs="Arial"/>
        </w:rPr>
      </w:pPr>
      <w:r w:rsidRPr="00EE6B8C">
        <w:rPr>
          <w:rFonts w:ascii="Arial" w:hAnsi="Arial" w:cs="Arial" w:hint="cs"/>
          <w:rtl/>
        </w:rPr>
        <w:t xml:space="preserve">חינוך גופני, דימוי גוף, והתנהגויות מיניות אצל נערים. </w:t>
      </w:r>
    </w:p>
    <w:p w:rsidR="0073298E" w:rsidRDefault="0073298E" w:rsidP="00EE6B8C">
      <w:pPr>
        <w:numPr>
          <w:ilvl w:val="0"/>
          <w:numId w:val="2"/>
        </w:numPr>
        <w:spacing w:line="360" w:lineRule="auto"/>
        <w:rPr>
          <w:rFonts w:ascii="Arial" w:hAnsi="Arial" w:cs="Arial"/>
        </w:rPr>
      </w:pPr>
      <w:r w:rsidRPr="005B7A93">
        <w:rPr>
          <w:rFonts w:ascii="Arial" w:hAnsi="Arial" w:cs="Arial"/>
          <w:rtl/>
        </w:rPr>
        <w:t>חינוך בנים נערים למיניות בריאה ובטוחה</w:t>
      </w:r>
    </w:p>
    <w:p w:rsidR="00EE6B8C" w:rsidRPr="005B7A93" w:rsidRDefault="00EE6B8C" w:rsidP="00EE6B8C">
      <w:pPr>
        <w:numPr>
          <w:ilvl w:val="0"/>
          <w:numId w:val="2"/>
        </w:numPr>
        <w:spacing w:line="360" w:lineRule="auto"/>
        <w:rPr>
          <w:rFonts w:ascii="Arial" w:hAnsi="Arial" w:cs="Arial"/>
        </w:rPr>
      </w:pPr>
      <w:r>
        <w:rPr>
          <w:rFonts w:ascii="Arial" w:hAnsi="Arial" w:cs="Arial" w:hint="cs"/>
          <w:rtl/>
        </w:rPr>
        <w:t>מורכבויות של תוכניות התערבות-מגדריות טרנספורמטיביות לנערים</w:t>
      </w:r>
    </w:p>
    <w:p w:rsidR="0073298E" w:rsidRPr="005B7A93" w:rsidRDefault="00EE6B8C" w:rsidP="00EE6B8C">
      <w:pPr>
        <w:numPr>
          <w:ilvl w:val="0"/>
          <w:numId w:val="2"/>
        </w:numPr>
        <w:spacing w:line="360" w:lineRule="auto"/>
        <w:rPr>
          <w:rFonts w:ascii="Arial" w:hAnsi="Arial" w:cs="Arial"/>
        </w:rPr>
      </w:pPr>
      <w:r>
        <w:rPr>
          <w:rFonts w:ascii="Arial" w:hAnsi="Arial" w:cs="Arial" w:hint="cs"/>
          <w:rtl/>
        </w:rPr>
        <w:t xml:space="preserve"> תוכניות התערבות מגדריות לנערים בישראל</w:t>
      </w:r>
    </w:p>
    <w:p w:rsidR="00376F6E" w:rsidRPr="005B7A93" w:rsidRDefault="0073298E" w:rsidP="00EE6B8C">
      <w:pPr>
        <w:numPr>
          <w:ilvl w:val="0"/>
          <w:numId w:val="2"/>
        </w:numPr>
        <w:spacing w:line="360" w:lineRule="auto"/>
        <w:rPr>
          <w:rFonts w:ascii="Arial" w:hAnsi="Arial" w:cs="Arial"/>
          <w:rtl/>
        </w:rPr>
      </w:pPr>
      <w:r w:rsidRPr="005B7A93">
        <w:rPr>
          <w:rFonts w:ascii="Arial" w:hAnsi="Arial" w:cs="Arial"/>
          <w:rtl/>
        </w:rPr>
        <w:t>אוטופיות מגדריות חינוכיות</w:t>
      </w:r>
    </w:p>
    <w:p w:rsidR="00173F41" w:rsidRPr="005B7A93" w:rsidRDefault="00173F41" w:rsidP="0073298E">
      <w:pPr>
        <w:rPr>
          <w:rFonts w:ascii="Arial" w:hAnsi="Arial" w:cs="Arial"/>
          <w:rtl/>
        </w:rPr>
      </w:pPr>
    </w:p>
    <w:p w:rsidR="00376F6E" w:rsidRPr="005B7A93" w:rsidRDefault="00376F6E" w:rsidP="00376F6E">
      <w:pPr>
        <w:ind w:left="26"/>
        <w:rPr>
          <w:rFonts w:ascii="Arial" w:hAnsi="Arial" w:cs="Arial"/>
          <w:b/>
          <w:bCs/>
          <w:rtl/>
        </w:rPr>
      </w:pPr>
      <w:r w:rsidRPr="005B7A93">
        <w:rPr>
          <w:rFonts w:ascii="Arial" w:hAnsi="Arial" w:cs="Arial"/>
          <w:b/>
          <w:bCs/>
          <w:sz w:val="26"/>
          <w:szCs w:val="26"/>
          <w:rtl/>
        </w:rPr>
        <w:t xml:space="preserve">ג. </w:t>
      </w:r>
      <w:r w:rsidRPr="005B7A93">
        <w:rPr>
          <w:rFonts w:ascii="Arial" w:hAnsi="Arial" w:cs="Arial"/>
          <w:b/>
          <w:bCs/>
          <w:color w:val="0000FF"/>
          <w:sz w:val="26"/>
          <w:szCs w:val="26"/>
          <w:rtl/>
        </w:rPr>
        <w:t>חובות הקורס</w:t>
      </w:r>
      <w:r w:rsidRPr="005B7A93">
        <w:rPr>
          <w:rFonts w:ascii="Arial" w:hAnsi="Arial" w:cs="Arial"/>
          <w:b/>
          <w:bCs/>
          <w:sz w:val="26"/>
          <w:szCs w:val="26"/>
          <w:rtl/>
        </w:rPr>
        <w:t>:</w:t>
      </w:r>
    </w:p>
    <w:p w:rsidR="00376F6E" w:rsidRPr="005B7A93" w:rsidRDefault="00376F6E" w:rsidP="00376F6E">
      <w:pPr>
        <w:ind w:left="26"/>
        <w:rPr>
          <w:rFonts w:ascii="Arial" w:hAnsi="Arial" w:cs="Arial"/>
          <w:b/>
          <w:bCs/>
          <w:rtl/>
        </w:rPr>
      </w:pPr>
    </w:p>
    <w:p w:rsidR="00376F6E" w:rsidRPr="005B7A93" w:rsidRDefault="00376F6E" w:rsidP="00376F6E">
      <w:pPr>
        <w:ind w:left="26"/>
        <w:rPr>
          <w:rFonts w:ascii="Arial" w:hAnsi="Arial" w:cs="Arial"/>
          <w:b/>
          <w:bCs/>
        </w:rPr>
      </w:pPr>
      <w:r w:rsidRPr="005B7A93">
        <w:rPr>
          <w:rFonts w:ascii="Arial" w:hAnsi="Arial" w:cs="Arial"/>
          <w:b/>
          <w:bCs/>
          <w:rtl/>
        </w:rPr>
        <w:t xml:space="preserve">     דרישות קדם:</w:t>
      </w:r>
    </w:p>
    <w:p w:rsidR="00376F6E" w:rsidRPr="005B7A93" w:rsidRDefault="00376F6E" w:rsidP="00376F6E">
      <w:pPr>
        <w:rPr>
          <w:rFonts w:ascii="Arial" w:hAnsi="Arial" w:cs="Arial"/>
          <w:b/>
          <w:bCs/>
          <w:rtl/>
        </w:rPr>
      </w:pPr>
    </w:p>
    <w:p w:rsidR="004E0E7C" w:rsidRPr="005B7A93" w:rsidRDefault="00376F6E" w:rsidP="004E0E7C">
      <w:pPr>
        <w:ind w:left="226" w:firstLine="26"/>
        <w:rPr>
          <w:rFonts w:ascii="Arial" w:hAnsi="Arial" w:cs="Arial"/>
          <w:b/>
          <w:bCs/>
          <w:rtl/>
        </w:rPr>
      </w:pPr>
      <w:r w:rsidRPr="005B7A93">
        <w:rPr>
          <w:rFonts w:ascii="Arial" w:hAnsi="Arial" w:cs="Arial"/>
          <w:b/>
          <w:bCs/>
          <w:rtl/>
        </w:rPr>
        <w:t xml:space="preserve"> חובות / דרישות / מטלות:</w:t>
      </w:r>
    </w:p>
    <w:p w:rsidR="00173F41" w:rsidRPr="005B7A93" w:rsidRDefault="00173F41" w:rsidP="004E0E7C">
      <w:pPr>
        <w:ind w:left="226" w:firstLine="26"/>
        <w:rPr>
          <w:rFonts w:ascii="Arial" w:hAnsi="Arial" w:cs="Arial"/>
        </w:rPr>
      </w:pPr>
      <w:r w:rsidRPr="005B7A93">
        <w:rPr>
          <w:rFonts w:ascii="Arial" w:hAnsi="Arial" w:cs="Arial" w:hint="cs"/>
          <w:rtl/>
        </w:rPr>
        <w:t xml:space="preserve">הגשת רפרט </w:t>
      </w:r>
      <w:r w:rsidRPr="005B7A93">
        <w:rPr>
          <w:rFonts w:ascii="Arial" w:hAnsi="Arial" w:cs="Arial"/>
          <w:rtl/>
        </w:rPr>
        <w:t>–</w:t>
      </w:r>
      <w:r w:rsidRPr="005B7A93">
        <w:rPr>
          <w:rFonts w:ascii="Arial" w:hAnsi="Arial" w:cs="Arial" w:hint="cs"/>
          <w:rtl/>
        </w:rPr>
        <w:t xml:space="preserve"> חובה, לצורך הגשת עבודת הגמר</w:t>
      </w:r>
    </w:p>
    <w:p w:rsidR="00376F6E" w:rsidRPr="005B7A93" w:rsidRDefault="00376F6E" w:rsidP="00376F6E">
      <w:pPr>
        <w:ind w:left="26"/>
        <w:rPr>
          <w:rFonts w:ascii="Arial" w:hAnsi="Arial" w:cs="Arial"/>
          <w:rtl/>
        </w:rPr>
      </w:pPr>
    </w:p>
    <w:p w:rsidR="00376F6E" w:rsidRPr="005B7A93" w:rsidRDefault="00376F6E" w:rsidP="00376F6E">
      <w:pPr>
        <w:ind w:left="226" w:firstLine="26"/>
        <w:rPr>
          <w:rFonts w:ascii="Arial" w:hAnsi="Arial" w:cs="Arial"/>
          <w:rtl/>
        </w:rPr>
      </w:pPr>
      <w:r w:rsidRPr="005B7A93">
        <w:rPr>
          <w:rFonts w:ascii="Arial" w:hAnsi="Arial" w:cs="Arial"/>
          <w:b/>
          <w:bCs/>
          <w:rtl/>
        </w:rPr>
        <w:t xml:space="preserve"> מרכיבי הציון הסופי (ציון מספרי / ציון עובר)</w:t>
      </w:r>
      <w:r w:rsidRPr="005B7A93">
        <w:rPr>
          <w:rFonts w:ascii="Arial" w:hAnsi="Arial" w:cs="Arial"/>
          <w:rtl/>
        </w:rPr>
        <w:t>:</w:t>
      </w:r>
    </w:p>
    <w:p w:rsidR="00C862BA" w:rsidRDefault="00C862BA" w:rsidP="004E0E7C">
      <w:pPr>
        <w:spacing w:line="360" w:lineRule="auto"/>
        <w:rPr>
          <w:rFonts w:ascii="Arial" w:hAnsi="Arial" w:cs="Arial"/>
          <w:rtl/>
        </w:rPr>
      </w:pPr>
    </w:p>
    <w:p w:rsidR="00376F6E" w:rsidRPr="005B7A93" w:rsidRDefault="004E0E7C" w:rsidP="004E0E7C">
      <w:pPr>
        <w:spacing w:line="360" w:lineRule="auto"/>
        <w:rPr>
          <w:rFonts w:ascii="Arial" w:hAnsi="Arial" w:cs="Arial"/>
          <w:sz w:val="26"/>
          <w:szCs w:val="26"/>
          <w:rtl/>
        </w:rPr>
      </w:pPr>
      <w:r w:rsidRPr="005B7A93">
        <w:rPr>
          <w:rFonts w:ascii="Arial" w:hAnsi="Arial" w:cs="Arial"/>
          <w:sz w:val="26"/>
          <w:szCs w:val="26"/>
          <w:rtl/>
        </w:rPr>
        <w:t xml:space="preserve"> עבודת גמר</w:t>
      </w:r>
      <w:r w:rsidR="00C862BA">
        <w:rPr>
          <w:rFonts w:ascii="Arial" w:hAnsi="Arial" w:cs="Arial" w:hint="cs"/>
          <w:sz w:val="26"/>
          <w:szCs w:val="26"/>
          <w:rtl/>
        </w:rPr>
        <w:t xml:space="preserve"> </w:t>
      </w:r>
      <w:r w:rsidR="00C862BA">
        <w:rPr>
          <w:rFonts w:ascii="Arial" w:hAnsi="Arial" w:cs="Arial"/>
          <w:sz w:val="26"/>
          <w:szCs w:val="26"/>
          <w:rtl/>
        </w:rPr>
        <w:t>–</w:t>
      </w:r>
      <w:r w:rsidR="00C862BA">
        <w:rPr>
          <w:rFonts w:ascii="Arial" w:hAnsi="Arial" w:cs="Arial" w:hint="cs"/>
          <w:sz w:val="26"/>
          <w:szCs w:val="26"/>
          <w:rtl/>
        </w:rPr>
        <w:t xml:space="preserve"> 100%</w:t>
      </w:r>
    </w:p>
    <w:p w:rsidR="00376F6E" w:rsidRDefault="00376F6E" w:rsidP="00376F6E">
      <w:pPr>
        <w:spacing w:line="360" w:lineRule="auto"/>
        <w:ind w:left="26"/>
        <w:rPr>
          <w:rFonts w:ascii="Arial" w:hAnsi="Arial" w:cs="Arial"/>
          <w:b/>
          <w:bCs/>
          <w:sz w:val="26"/>
          <w:szCs w:val="26"/>
          <w:rtl/>
        </w:rPr>
      </w:pPr>
    </w:p>
    <w:p w:rsidR="00C862BA" w:rsidRDefault="00C862BA" w:rsidP="00376F6E">
      <w:pPr>
        <w:spacing w:line="360" w:lineRule="auto"/>
        <w:ind w:left="26"/>
        <w:rPr>
          <w:rFonts w:ascii="Arial" w:hAnsi="Arial" w:cs="Arial"/>
          <w:b/>
          <w:bCs/>
          <w:sz w:val="26"/>
          <w:szCs w:val="26"/>
          <w:rtl/>
        </w:rPr>
      </w:pPr>
    </w:p>
    <w:p w:rsidR="00C862BA" w:rsidRDefault="00C862BA" w:rsidP="00376F6E">
      <w:pPr>
        <w:spacing w:line="360" w:lineRule="auto"/>
        <w:ind w:left="26"/>
        <w:rPr>
          <w:rFonts w:ascii="Arial" w:hAnsi="Arial" w:cs="Arial"/>
          <w:b/>
          <w:bCs/>
          <w:sz w:val="26"/>
          <w:szCs w:val="26"/>
          <w:rtl/>
        </w:rPr>
      </w:pPr>
    </w:p>
    <w:p w:rsidR="00C862BA" w:rsidRPr="005B7A93" w:rsidRDefault="00C862BA" w:rsidP="00376F6E">
      <w:pPr>
        <w:spacing w:line="360" w:lineRule="auto"/>
        <w:ind w:left="26"/>
        <w:rPr>
          <w:rFonts w:ascii="Arial" w:hAnsi="Arial" w:cs="Arial"/>
          <w:b/>
          <w:bCs/>
          <w:sz w:val="26"/>
          <w:szCs w:val="26"/>
          <w:rtl/>
        </w:rPr>
      </w:pPr>
    </w:p>
    <w:p w:rsidR="00376F6E" w:rsidRPr="005B7A93" w:rsidRDefault="00376F6E" w:rsidP="00376F6E">
      <w:pPr>
        <w:spacing w:line="360" w:lineRule="auto"/>
        <w:ind w:left="26"/>
        <w:rPr>
          <w:rFonts w:ascii="Arial" w:hAnsi="Arial" w:cs="Arial"/>
          <w:rtl/>
        </w:rPr>
      </w:pPr>
      <w:r w:rsidRPr="005B7A93">
        <w:rPr>
          <w:rFonts w:ascii="Arial" w:hAnsi="Arial" w:cs="Arial"/>
          <w:b/>
          <w:bCs/>
          <w:sz w:val="26"/>
          <w:szCs w:val="26"/>
          <w:rtl/>
        </w:rPr>
        <w:lastRenderedPageBreak/>
        <w:t xml:space="preserve">ד. </w:t>
      </w:r>
      <w:r w:rsidRPr="005B7A93">
        <w:rPr>
          <w:rFonts w:ascii="Arial" w:hAnsi="Arial" w:cs="Arial"/>
          <w:b/>
          <w:bCs/>
          <w:color w:val="0000FF"/>
          <w:sz w:val="26"/>
          <w:szCs w:val="26"/>
          <w:rtl/>
        </w:rPr>
        <w:t>ביבליוגרפיה:</w:t>
      </w:r>
      <w:r w:rsidR="00E30577" w:rsidRPr="005B7A93">
        <w:rPr>
          <w:rFonts w:ascii="Arial" w:hAnsi="Arial" w:cs="Arial"/>
          <w:rtl/>
        </w:rPr>
        <w:t xml:space="preserve"> (</w:t>
      </w:r>
      <w:r w:rsidR="00C862BA">
        <w:rPr>
          <w:rFonts w:ascii="Arial" w:hAnsi="Arial" w:cs="Arial" w:hint="cs"/>
          <w:rtl/>
        </w:rPr>
        <w:t>חובה ו</w:t>
      </w:r>
      <w:r w:rsidRPr="005B7A93">
        <w:rPr>
          <w:rFonts w:ascii="Arial" w:hAnsi="Arial" w:cs="Arial"/>
          <w:rtl/>
        </w:rPr>
        <w:t>רשות)</w:t>
      </w:r>
    </w:p>
    <w:p w:rsidR="004E0E7C" w:rsidRPr="005B7A93" w:rsidRDefault="004E0E7C" w:rsidP="00376F6E">
      <w:pPr>
        <w:spacing w:line="360" w:lineRule="auto"/>
        <w:ind w:left="26"/>
        <w:rPr>
          <w:rFonts w:ascii="Arial" w:hAnsi="Arial" w:cs="Arial"/>
        </w:rPr>
      </w:pPr>
    </w:p>
    <w:p w:rsidR="004E0E7C" w:rsidRPr="005B7A93" w:rsidRDefault="004E0E7C" w:rsidP="004E0E7C">
      <w:pPr>
        <w:widowControl w:val="0"/>
        <w:suppressAutoHyphens/>
        <w:spacing w:after="100" w:afterAutospacing="1"/>
        <w:ind w:left="720" w:hanging="720"/>
        <w:contextualSpacing/>
        <w:rPr>
          <w:rFonts w:ascii="Arial" w:hAnsi="Arial" w:cs="Arial"/>
          <w:color w:val="000000"/>
          <w:shd w:val="clear" w:color="auto" w:fill="FFFFFF"/>
          <w:rtl/>
        </w:rPr>
      </w:pPr>
      <w:r w:rsidRPr="005B7A93">
        <w:rPr>
          <w:rFonts w:ascii="Arial" w:hAnsi="Arial" w:cs="Arial"/>
          <w:color w:val="000000"/>
          <w:shd w:val="clear" w:color="auto" w:fill="FFFFFF"/>
          <w:rtl/>
        </w:rPr>
        <w:t xml:space="preserve">אפטר, י', </w:t>
      </w:r>
      <w:proofErr w:type="spellStart"/>
      <w:r w:rsidRPr="005B7A93">
        <w:rPr>
          <w:rFonts w:ascii="Arial" w:hAnsi="Arial" w:cs="Arial"/>
          <w:color w:val="000000"/>
          <w:shd w:val="clear" w:color="auto" w:fill="FFFFFF"/>
          <w:rtl/>
        </w:rPr>
        <w:t>ודוידזון</w:t>
      </w:r>
      <w:proofErr w:type="spellEnd"/>
      <w:r w:rsidRPr="005B7A93">
        <w:rPr>
          <w:rFonts w:ascii="Arial" w:hAnsi="Arial" w:cs="Arial"/>
          <w:color w:val="000000"/>
          <w:shd w:val="clear" w:color="auto" w:fill="FFFFFF"/>
          <w:rtl/>
        </w:rPr>
        <w:t xml:space="preserve">, א. 2006. תוכנית </w:t>
      </w:r>
      <w:proofErr w:type="spellStart"/>
      <w:r w:rsidRPr="005B7A93">
        <w:rPr>
          <w:rFonts w:ascii="Arial" w:hAnsi="Arial" w:cs="Arial"/>
          <w:color w:val="000000"/>
          <w:shd w:val="clear" w:color="auto" w:fill="FFFFFF"/>
          <w:rtl/>
        </w:rPr>
        <w:t>נ.מ.ש</w:t>
      </w:r>
      <w:proofErr w:type="spellEnd"/>
      <w:r w:rsidRPr="005B7A93">
        <w:rPr>
          <w:rFonts w:ascii="Arial" w:hAnsi="Arial" w:cs="Arial"/>
          <w:color w:val="000000"/>
          <w:shd w:val="clear" w:color="auto" w:fill="FFFFFF"/>
          <w:rtl/>
        </w:rPr>
        <w:t>. נערים מובילים שינוי – גבריות חדשה, שוויון בין המינים ומגדר- ערכת לימוד. רמת-גן: שדולת הנשים בישראל ומשרד החינוך.</w:t>
      </w:r>
    </w:p>
    <w:p w:rsidR="004E0E7C" w:rsidRPr="005B7A93" w:rsidRDefault="004E0E7C" w:rsidP="004E0E7C">
      <w:pPr>
        <w:widowControl w:val="0"/>
        <w:suppressAutoHyphens/>
        <w:spacing w:after="100" w:afterAutospacing="1"/>
        <w:ind w:left="720" w:hanging="720"/>
        <w:contextualSpacing/>
        <w:rPr>
          <w:rFonts w:ascii="Arial" w:hAnsi="Arial" w:cs="Arial"/>
          <w:color w:val="000000"/>
          <w:shd w:val="clear" w:color="auto" w:fill="FFFFFF"/>
          <w:rtl/>
        </w:rPr>
      </w:pPr>
    </w:p>
    <w:p w:rsidR="004E0E7C" w:rsidRPr="005B7A93" w:rsidRDefault="004E0E7C" w:rsidP="004E0E7C">
      <w:pPr>
        <w:widowControl w:val="0"/>
        <w:suppressAutoHyphens/>
        <w:spacing w:after="100" w:afterAutospacing="1"/>
        <w:ind w:left="720" w:hanging="720"/>
        <w:contextualSpacing/>
        <w:rPr>
          <w:rFonts w:ascii="Arial" w:hAnsi="Arial" w:cs="Arial"/>
          <w:color w:val="000000"/>
          <w:shd w:val="clear" w:color="auto" w:fill="FFFFFF"/>
          <w:rtl/>
        </w:rPr>
      </w:pPr>
      <w:proofErr w:type="spellStart"/>
      <w:r w:rsidRPr="005B7A93">
        <w:rPr>
          <w:rFonts w:ascii="Arial" w:hAnsi="Arial" w:cs="Arial"/>
          <w:color w:val="000000"/>
          <w:shd w:val="clear" w:color="auto" w:fill="FFFFFF"/>
          <w:rtl/>
        </w:rPr>
        <w:t>בירמן</w:t>
      </w:r>
      <w:proofErr w:type="spellEnd"/>
      <w:r w:rsidRPr="005B7A93">
        <w:rPr>
          <w:rFonts w:ascii="Arial" w:hAnsi="Arial" w:cs="Arial"/>
          <w:color w:val="000000"/>
          <w:shd w:val="clear" w:color="auto" w:fill="FFFFFF"/>
          <w:rtl/>
        </w:rPr>
        <w:t xml:space="preserve">, צ', ואפטר, י'. 2002. </w:t>
      </w:r>
      <w:proofErr w:type="spellStart"/>
      <w:r w:rsidRPr="005B7A93">
        <w:rPr>
          <w:rFonts w:ascii="Arial" w:hAnsi="Arial" w:cs="Arial"/>
          <w:color w:val="000000"/>
          <w:shd w:val="clear" w:color="auto" w:fill="FFFFFF"/>
          <w:rtl/>
        </w:rPr>
        <w:t>נ.מ.ש</w:t>
      </w:r>
      <w:proofErr w:type="spellEnd"/>
      <w:r w:rsidRPr="005B7A93">
        <w:rPr>
          <w:rFonts w:ascii="Arial" w:hAnsi="Arial" w:cs="Arial"/>
          <w:color w:val="000000"/>
          <w:shd w:val="clear" w:color="auto" w:fill="FFFFFF"/>
          <w:rtl/>
        </w:rPr>
        <w:t xml:space="preserve"> - ערכת לימוד ניסויית. רמת-גן: שדולת הנשים בישראל ומשרד החינוך.</w:t>
      </w:r>
    </w:p>
    <w:p w:rsidR="004E0E7C" w:rsidRPr="005B7A93" w:rsidRDefault="004E0E7C" w:rsidP="004E0E7C">
      <w:pPr>
        <w:widowControl w:val="0"/>
        <w:suppressAutoHyphens/>
        <w:spacing w:after="100" w:afterAutospacing="1"/>
        <w:ind w:left="720" w:hanging="720"/>
        <w:contextualSpacing/>
        <w:rPr>
          <w:rFonts w:ascii="Arial" w:hAnsi="Arial" w:cs="Arial"/>
          <w:color w:val="000000"/>
          <w:shd w:val="clear" w:color="auto" w:fill="FFFFFF"/>
          <w:rtl/>
        </w:rPr>
      </w:pPr>
    </w:p>
    <w:p w:rsidR="004E0E7C" w:rsidRPr="005B7A93" w:rsidRDefault="004E0E7C" w:rsidP="004E0E7C">
      <w:pPr>
        <w:widowControl w:val="0"/>
        <w:suppressAutoHyphens/>
        <w:spacing w:after="100" w:afterAutospacing="1"/>
        <w:ind w:left="720" w:hanging="720"/>
        <w:contextualSpacing/>
        <w:rPr>
          <w:rFonts w:ascii="Arial" w:hAnsi="Arial" w:cs="Arial"/>
          <w:color w:val="000000"/>
          <w:shd w:val="clear" w:color="auto" w:fill="FFFFFF"/>
        </w:rPr>
      </w:pPr>
      <w:r w:rsidRPr="005B7A93">
        <w:rPr>
          <w:rFonts w:ascii="Arial" w:hAnsi="Arial" w:cs="Arial"/>
          <w:color w:val="000000"/>
          <w:shd w:val="clear" w:color="auto" w:fill="FFFFFF"/>
          <w:rtl/>
        </w:rPr>
        <w:t xml:space="preserve">קופר, י' וקפלן, ד'. 2010. כשהפרטי פוגש את הציבורי: הפוליטיקה של ההכרה בארגון לחינוך ושינוי חברתי של קהילת </w:t>
      </w:r>
      <w:proofErr w:type="spellStart"/>
      <w:r w:rsidRPr="005B7A93">
        <w:rPr>
          <w:rFonts w:ascii="Arial" w:hAnsi="Arial" w:cs="Arial"/>
          <w:color w:val="000000"/>
          <w:shd w:val="clear" w:color="auto" w:fill="FFFFFF"/>
          <w:rtl/>
        </w:rPr>
        <w:t>להט"ב</w:t>
      </w:r>
      <w:proofErr w:type="spellEnd"/>
      <w:r w:rsidRPr="005B7A93">
        <w:rPr>
          <w:rFonts w:ascii="Arial" w:hAnsi="Arial" w:cs="Arial"/>
          <w:color w:val="000000"/>
          <w:shd w:val="clear" w:color="auto" w:fill="FFFFFF"/>
          <w:rtl/>
        </w:rPr>
        <w:t xml:space="preserve">. </w:t>
      </w:r>
      <w:r w:rsidRPr="005B7A93">
        <w:rPr>
          <w:rFonts w:ascii="Arial" w:hAnsi="Arial" w:cs="Arial"/>
          <w:i/>
          <w:iCs/>
          <w:color w:val="000000"/>
          <w:shd w:val="clear" w:color="auto" w:fill="FFFFFF"/>
          <w:rtl/>
        </w:rPr>
        <w:t>סוציולוגיה ישראלית</w:t>
      </w:r>
      <w:r w:rsidRPr="005B7A93">
        <w:rPr>
          <w:rFonts w:ascii="Arial" w:hAnsi="Arial" w:cs="Arial"/>
          <w:color w:val="000000"/>
          <w:shd w:val="clear" w:color="auto" w:fill="FFFFFF"/>
          <w:rtl/>
        </w:rPr>
        <w:t xml:space="preserve">, </w:t>
      </w:r>
      <w:proofErr w:type="spellStart"/>
      <w:r w:rsidRPr="005B7A93">
        <w:rPr>
          <w:rFonts w:ascii="Arial" w:hAnsi="Arial" w:cs="Arial"/>
          <w:color w:val="000000"/>
          <w:shd w:val="clear" w:color="auto" w:fill="FFFFFF"/>
          <w:rtl/>
        </w:rPr>
        <w:t>יב</w:t>
      </w:r>
      <w:proofErr w:type="spellEnd"/>
      <w:r w:rsidRPr="005B7A93">
        <w:rPr>
          <w:rFonts w:ascii="Arial" w:hAnsi="Arial" w:cs="Arial"/>
          <w:color w:val="000000"/>
          <w:shd w:val="clear" w:color="auto" w:fill="FFFFFF"/>
          <w:rtl/>
        </w:rPr>
        <w:t>(1):180-159.</w:t>
      </w:r>
    </w:p>
    <w:p w:rsidR="004E0E7C" w:rsidRPr="005B7A93" w:rsidRDefault="004E0E7C" w:rsidP="004E0E7C">
      <w:pPr>
        <w:widowControl w:val="0"/>
        <w:suppressAutoHyphens/>
        <w:spacing w:after="100" w:afterAutospacing="1"/>
        <w:ind w:left="720" w:hanging="720"/>
        <w:contextualSpacing/>
        <w:rPr>
          <w:rFonts w:ascii="Arial" w:hAnsi="Arial" w:cs="Arial"/>
          <w:color w:val="000000"/>
          <w:shd w:val="clear" w:color="auto" w:fill="FFFFFF"/>
        </w:rPr>
      </w:pPr>
    </w:p>
    <w:p w:rsidR="004E0E7C" w:rsidRPr="005B7A93" w:rsidRDefault="004E0E7C" w:rsidP="004E0E7C">
      <w:pPr>
        <w:widowControl w:val="0"/>
        <w:suppressAutoHyphens/>
        <w:spacing w:after="100" w:afterAutospacing="1"/>
        <w:ind w:left="720" w:hanging="720"/>
        <w:contextualSpacing/>
        <w:rPr>
          <w:rFonts w:ascii="Arial" w:hAnsi="Arial" w:cs="Arial"/>
          <w:color w:val="000000"/>
          <w:shd w:val="clear" w:color="auto" w:fill="FFFFFF"/>
        </w:rPr>
      </w:pPr>
      <w:r w:rsidRPr="005B7A93">
        <w:rPr>
          <w:rFonts w:ascii="Arial" w:eastAsia="Tahoma" w:hAnsi="Arial" w:cs="Arial"/>
          <w:color w:val="000000"/>
          <w:shd w:val="clear" w:color="auto" w:fill="FFFFFF"/>
          <w:rtl/>
        </w:rPr>
        <w:t>שוורץ</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ירון</w:t>
      </w:r>
      <w:r w:rsidRPr="005B7A93">
        <w:rPr>
          <w:rFonts w:ascii="Arial" w:hAnsi="Arial" w:cs="Arial"/>
          <w:color w:val="000000"/>
          <w:shd w:val="clear" w:color="auto" w:fill="FFFFFF"/>
          <w:rtl/>
        </w:rPr>
        <w:t xml:space="preserve"> (2013). "</w:t>
      </w:r>
      <w:r w:rsidRPr="005B7A93">
        <w:rPr>
          <w:rFonts w:ascii="Arial" w:eastAsia="Tahoma" w:hAnsi="Arial" w:cs="Arial"/>
          <w:color w:val="000000"/>
          <w:shd w:val="clear" w:color="auto" w:fill="FFFFFF"/>
          <w:rtl/>
        </w:rPr>
        <w:t>נערים</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מגדר</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וחינוך</w:t>
      </w:r>
      <w:r w:rsidRPr="005B7A93">
        <w:rPr>
          <w:rFonts w:ascii="Arial" w:hAnsi="Arial" w:cs="Arial"/>
          <w:color w:val="000000"/>
          <w:shd w:val="clear" w:color="auto" w:fill="FFFFFF"/>
          <w:rtl/>
        </w:rPr>
        <w:t xml:space="preserve"> – </w:t>
      </w:r>
      <w:r w:rsidRPr="005B7A93">
        <w:rPr>
          <w:rFonts w:ascii="Arial" w:eastAsia="Tahoma" w:hAnsi="Arial" w:cs="Arial"/>
          <w:color w:val="000000"/>
          <w:shd w:val="clear" w:color="auto" w:fill="FFFFFF"/>
          <w:rtl/>
        </w:rPr>
        <w:t>ממשבר</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לפתרון</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המעבר</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הנדרש</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מחינוך</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משמר</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מגדר</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ל</w:t>
      </w:r>
      <w:r w:rsidRPr="005B7A93">
        <w:rPr>
          <w:rFonts w:ascii="Arial" w:hAnsi="Arial" w:cs="Arial"/>
          <w:color w:val="000000"/>
          <w:shd w:val="clear" w:color="auto" w:fill="FFFFFF"/>
          <w:rtl/>
        </w:rPr>
        <w:t>"</w:t>
      </w:r>
      <w:r w:rsidRPr="005B7A93">
        <w:rPr>
          <w:rFonts w:ascii="Arial" w:eastAsia="Tahoma" w:hAnsi="Arial" w:cs="Arial"/>
          <w:color w:val="000000"/>
          <w:shd w:val="clear" w:color="auto" w:fill="FFFFFF"/>
          <w:rtl/>
        </w:rPr>
        <w:t>חינוך</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מגיב</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למגדר</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היחידה</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לשוויון</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בין</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המינים</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משרד</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החינוך</w:t>
      </w:r>
      <w:r w:rsidRPr="005B7A93">
        <w:rPr>
          <w:rFonts w:ascii="Arial" w:hAnsi="Arial" w:cs="Arial"/>
          <w:color w:val="000000"/>
          <w:shd w:val="clear" w:color="auto" w:fill="FFFFFF"/>
          <w:rtl/>
        </w:rPr>
        <w:t xml:space="preserve"> – </w:t>
      </w:r>
      <w:r w:rsidRPr="005B7A93">
        <w:rPr>
          <w:rFonts w:ascii="Arial" w:eastAsia="Tahoma" w:hAnsi="Arial" w:cs="Arial"/>
          <w:color w:val="000000"/>
          <w:shd w:val="clear" w:color="auto" w:fill="FFFFFF"/>
          <w:rtl/>
        </w:rPr>
        <w:t>מדינת</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ישראל</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ירושלים</w:t>
      </w:r>
      <w:r w:rsidRPr="005B7A93">
        <w:rPr>
          <w:rFonts w:ascii="Arial" w:hAnsi="Arial" w:cs="Arial"/>
          <w:color w:val="000000"/>
          <w:shd w:val="clear" w:color="auto" w:fill="FFFFFF"/>
          <w:rtl/>
        </w:rPr>
        <w:t xml:space="preserve">. </w:t>
      </w:r>
    </w:p>
    <w:p w:rsidR="004E0E7C" w:rsidRPr="005B7A93" w:rsidRDefault="004E0E7C" w:rsidP="004E0E7C">
      <w:pPr>
        <w:widowControl w:val="0"/>
        <w:suppressAutoHyphens/>
        <w:spacing w:after="100" w:afterAutospacing="1"/>
        <w:ind w:left="720" w:hanging="720"/>
        <w:contextualSpacing/>
        <w:rPr>
          <w:rFonts w:ascii="Arial" w:hAnsi="Arial" w:cs="Arial"/>
          <w:color w:val="000000"/>
          <w:shd w:val="clear" w:color="auto" w:fill="FFFFFF"/>
          <w:rtl/>
        </w:rPr>
      </w:pPr>
    </w:p>
    <w:p w:rsidR="004E0E7C" w:rsidRPr="005B7A93" w:rsidRDefault="004E0E7C" w:rsidP="004E0E7C">
      <w:pPr>
        <w:widowControl w:val="0"/>
        <w:suppressAutoHyphens/>
        <w:spacing w:after="100" w:afterAutospacing="1"/>
        <w:ind w:left="720" w:hanging="720"/>
        <w:contextualSpacing/>
        <w:rPr>
          <w:rFonts w:ascii="Arial" w:hAnsi="Arial" w:cs="Arial"/>
          <w:color w:val="000000"/>
          <w:shd w:val="clear" w:color="auto" w:fill="FFFFFF"/>
        </w:rPr>
      </w:pPr>
      <w:r w:rsidRPr="005B7A93">
        <w:rPr>
          <w:rFonts w:ascii="Arial" w:eastAsia="Tahoma" w:hAnsi="Arial" w:cs="Arial"/>
          <w:color w:val="000000"/>
          <w:shd w:val="clear" w:color="auto" w:fill="FFFFFF"/>
          <w:rtl/>
        </w:rPr>
        <w:t>שוורץ</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ירון</w:t>
      </w:r>
      <w:r w:rsidRPr="005B7A93">
        <w:rPr>
          <w:rFonts w:ascii="Arial" w:hAnsi="Arial" w:cs="Arial"/>
          <w:color w:val="000000"/>
          <w:shd w:val="clear" w:color="auto" w:fill="FFFFFF"/>
          <w:rtl/>
        </w:rPr>
        <w:t xml:space="preserve"> (2015) "</w:t>
      </w:r>
      <w:r w:rsidRPr="005B7A93">
        <w:rPr>
          <w:rFonts w:ascii="Arial" w:eastAsia="Tahoma" w:hAnsi="Arial" w:cs="Arial"/>
          <w:color w:val="000000"/>
          <w:shd w:val="clear" w:color="auto" w:fill="FFFFFF"/>
          <w:rtl/>
        </w:rPr>
        <w:t>אלימות</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מגדרית</w:t>
      </w:r>
      <w:r w:rsidRPr="005B7A93">
        <w:rPr>
          <w:rFonts w:ascii="Arial" w:hAnsi="Arial" w:cs="Arial"/>
          <w:color w:val="000000"/>
          <w:shd w:val="clear" w:color="auto" w:fill="FFFFFF"/>
          <w:rtl/>
        </w:rPr>
        <w:t xml:space="preserve"> – </w:t>
      </w:r>
      <w:r w:rsidRPr="005B7A93">
        <w:rPr>
          <w:rFonts w:ascii="Arial" w:eastAsia="Tahoma" w:hAnsi="Arial" w:cs="Arial"/>
          <w:color w:val="000000"/>
          <w:shd w:val="clear" w:color="auto" w:fill="FFFFFF"/>
          <w:rtl/>
        </w:rPr>
        <w:t>בעיות</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ופתרונות</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הסבר</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מבואי</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לבתי</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הספר</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עמותת</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אל</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הלב</w:t>
      </w:r>
      <w:r w:rsidRPr="005B7A93">
        <w:rPr>
          <w:rFonts w:ascii="Arial" w:hAnsi="Arial" w:cs="Arial"/>
          <w:color w:val="000000"/>
          <w:shd w:val="clear" w:color="auto" w:fill="FFFFFF"/>
          <w:rtl/>
        </w:rPr>
        <w:t xml:space="preserve">, </w:t>
      </w:r>
      <w:r w:rsidRPr="005B7A93">
        <w:rPr>
          <w:rFonts w:ascii="Arial" w:eastAsia="Tahoma" w:hAnsi="Arial" w:cs="Arial"/>
          <w:color w:val="000000"/>
          <w:shd w:val="clear" w:color="auto" w:fill="FFFFFF"/>
          <w:rtl/>
        </w:rPr>
        <w:t>ירושלים</w:t>
      </w:r>
      <w:r w:rsidRPr="005B7A93">
        <w:rPr>
          <w:rFonts w:ascii="Arial" w:hAnsi="Arial" w:cs="Arial"/>
          <w:color w:val="000000"/>
          <w:shd w:val="clear" w:color="auto" w:fill="FFFFFF"/>
          <w:rtl/>
        </w:rPr>
        <w:t>.</w:t>
      </w:r>
    </w:p>
    <w:p w:rsidR="004E0E7C" w:rsidRPr="005B7A93" w:rsidRDefault="004E0E7C" w:rsidP="004E0E7C">
      <w:pPr>
        <w:widowControl w:val="0"/>
        <w:suppressAutoHyphens/>
        <w:spacing w:after="100" w:afterAutospacing="1"/>
        <w:contextualSpacing/>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Aikman, S., &amp; </w:t>
      </w:r>
      <w:proofErr w:type="spellStart"/>
      <w:r w:rsidRPr="005B7A93">
        <w:rPr>
          <w:rFonts w:ascii="Arial" w:hAnsi="Arial" w:cs="Arial"/>
          <w:color w:val="000000"/>
          <w:shd w:val="clear" w:color="auto" w:fill="FFFFFF"/>
        </w:rPr>
        <w:t>Unterhalter</w:t>
      </w:r>
      <w:proofErr w:type="spellEnd"/>
      <w:r w:rsidRPr="005B7A93">
        <w:rPr>
          <w:rFonts w:ascii="Arial" w:hAnsi="Arial" w:cs="Arial"/>
          <w:color w:val="000000"/>
          <w:shd w:val="clear" w:color="auto" w:fill="FFFFFF"/>
        </w:rPr>
        <w:t xml:space="preserve">, E. (Eds). 2005. </w:t>
      </w:r>
      <w:r w:rsidRPr="005B7A93">
        <w:rPr>
          <w:rFonts w:ascii="Arial" w:hAnsi="Arial" w:cs="Arial"/>
          <w:i/>
          <w:iCs/>
          <w:color w:val="000000"/>
          <w:shd w:val="clear" w:color="auto" w:fill="FFFFFF"/>
        </w:rPr>
        <w:t>Beyond Access: Transforming policy and practice for gender equality in education</w:t>
      </w:r>
      <w:r w:rsidRPr="005B7A93">
        <w:rPr>
          <w:rFonts w:ascii="Arial" w:hAnsi="Arial" w:cs="Arial"/>
          <w:color w:val="000000"/>
          <w:shd w:val="clear" w:color="auto" w:fill="FFFFFF"/>
        </w:rPr>
        <w:t>. Oxford: Oxfam GB.</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Birdsall, N., Amina, J., Ibrahim, A.J., &amp; Gupta, G.R. 2004. </w:t>
      </w:r>
      <w:r w:rsidRPr="005B7A93">
        <w:rPr>
          <w:rFonts w:ascii="Arial" w:hAnsi="Arial" w:cs="Arial"/>
          <w:i/>
          <w:iCs/>
          <w:color w:val="000000"/>
          <w:shd w:val="clear" w:color="auto" w:fill="FFFFFF"/>
        </w:rPr>
        <w:t>Interim report of task force 3 on education and gender equality</w:t>
      </w:r>
      <w:r w:rsidRPr="005B7A93">
        <w:rPr>
          <w:rFonts w:ascii="Arial" w:hAnsi="Arial" w:cs="Arial"/>
          <w:color w:val="000000"/>
          <w:shd w:val="clear" w:color="auto" w:fill="FFFFFF"/>
        </w:rPr>
        <w:t>. Millennium Project - Commissioned by the UN Secretary general and supported by the UN development group. From:</w:t>
      </w:r>
    </w:p>
    <w:p w:rsidR="004E0E7C" w:rsidRPr="005B7A93" w:rsidRDefault="004E0E7C" w:rsidP="00173F41">
      <w:pPr>
        <w:widowControl w:val="0"/>
        <w:suppressAutoHyphens/>
        <w:bidi w:val="0"/>
        <w:spacing w:after="100" w:afterAutospacing="1"/>
        <w:ind w:left="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 </w:t>
      </w:r>
      <w:hyperlink r:id="rId8" w:history="1">
        <w:r w:rsidRPr="005B7A93">
          <w:rPr>
            <w:rStyle w:val="Hyperlink"/>
            <w:rFonts w:ascii="Arial" w:hAnsi="Arial" w:cs="Arial"/>
            <w:shd w:val="clear" w:color="auto" w:fill="FFFFFF"/>
          </w:rPr>
          <w:t>http://www.unmillenniumproject.org/documents/tf3edinterimexecsum.pdf</w:t>
        </w:r>
      </w:hyperlink>
      <w:r w:rsidRPr="005B7A93">
        <w:rPr>
          <w:rFonts w:ascii="Arial" w:hAnsi="Arial" w:cs="Arial"/>
          <w:color w:val="000000"/>
          <w:shd w:val="clear" w:color="auto" w:fill="FFFFFF"/>
        </w:rPr>
        <w:t xml:space="preserve"> </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Clarke, J. 2003. </w:t>
      </w:r>
      <w:r w:rsidRPr="005B7A93">
        <w:rPr>
          <w:rFonts w:ascii="Arial" w:hAnsi="Arial" w:cs="Arial"/>
          <w:i/>
          <w:iCs/>
          <w:color w:val="000000"/>
          <w:shd w:val="clear" w:color="auto" w:fill="FFFFFF"/>
        </w:rPr>
        <w:t>Changing systems to personalize learning: Introduction to the personalization workshops</w:t>
      </w:r>
      <w:r w:rsidRPr="005B7A93">
        <w:rPr>
          <w:rFonts w:ascii="Arial" w:hAnsi="Arial" w:cs="Arial"/>
          <w:color w:val="000000"/>
          <w:shd w:val="clear" w:color="auto" w:fill="FFFFFF"/>
        </w:rPr>
        <w:t>. Providence, RI: The Educational Alliance at Brown University.</w:t>
      </w:r>
    </w:p>
    <w:p w:rsidR="004E0E7C" w:rsidRPr="005B7A93" w:rsidRDefault="004E0E7C" w:rsidP="00173F41">
      <w:pPr>
        <w:widowControl w:val="0"/>
        <w:tabs>
          <w:tab w:val="left" w:pos="6237"/>
        </w:tabs>
        <w:suppressAutoHyphens/>
        <w:bidi w:val="0"/>
        <w:spacing w:after="100" w:afterAutospacing="1"/>
        <w:contextualSpacing/>
        <w:jc w:val="both"/>
        <w:rPr>
          <w:rFonts w:ascii="Arial" w:hAnsi="Arial" w:cs="Arial"/>
          <w:color w:val="000000"/>
          <w:shd w:val="clear" w:color="auto" w:fill="FFFFFF"/>
        </w:rPr>
      </w:pPr>
      <w:r w:rsidRPr="005B7A93">
        <w:rPr>
          <w:rFonts w:ascii="Arial" w:hAnsi="Arial" w:cs="Arial"/>
          <w:color w:val="000000"/>
          <w:shd w:val="clear" w:color="auto" w:fill="FFFFFF"/>
        </w:rPr>
        <w:tab/>
      </w: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Connell, R.W. 1996b. Teaching the boys: new research on masculinity, and gender strategies for schools. </w:t>
      </w:r>
      <w:r w:rsidRPr="005B7A93">
        <w:rPr>
          <w:rFonts w:ascii="Arial" w:hAnsi="Arial" w:cs="Arial"/>
          <w:i/>
          <w:iCs/>
          <w:color w:val="000000"/>
          <w:shd w:val="clear" w:color="auto" w:fill="FFFFFF"/>
        </w:rPr>
        <w:t>Teachers College Record</w:t>
      </w:r>
      <w:r w:rsidRPr="005B7A93">
        <w:rPr>
          <w:rFonts w:ascii="Arial" w:hAnsi="Arial" w:cs="Arial"/>
          <w:color w:val="000000"/>
          <w:shd w:val="clear" w:color="auto" w:fill="FFFFFF"/>
        </w:rPr>
        <w:t>, 98(2):206-235.</w:t>
      </w:r>
      <w:r w:rsidRPr="005B7A93">
        <w:rPr>
          <w:rFonts w:ascii="Arial" w:hAnsi="Arial" w:cs="Arial"/>
        </w:rPr>
        <w:t xml:space="preserve"> </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Crooks, C.V., Goodall, G.R., Hughes, R., Jaffe, P.G., &amp; Baker, L. 2007. Engaging men and boys in preventing violence against women: Applying a cognitive-</w:t>
      </w:r>
      <w:proofErr w:type="spellStart"/>
      <w:r w:rsidRPr="005B7A93">
        <w:rPr>
          <w:rFonts w:ascii="Arial" w:hAnsi="Arial" w:cs="Arial"/>
          <w:color w:val="000000"/>
          <w:shd w:val="clear" w:color="auto" w:fill="FFFFFF"/>
        </w:rPr>
        <w:t>behaviour</w:t>
      </w:r>
      <w:proofErr w:type="spellEnd"/>
      <w:r w:rsidRPr="005B7A93">
        <w:rPr>
          <w:rFonts w:ascii="Arial" w:hAnsi="Arial" w:cs="Arial"/>
          <w:color w:val="000000"/>
          <w:shd w:val="clear" w:color="auto" w:fill="FFFFFF"/>
        </w:rPr>
        <w:t xml:space="preserve"> model. </w:t>
      </w:r>
      <w:r w:rsidRPr="005B7A93">
        <w:rPr>
          <w:rFonts w:ascii="Arial" w:hAnsi="Arial" w:cs="Arial"/>
          <w:i/>
          <w:iCs/>
          <w:color w:val="000000"/>
          <w:shd w:val="clear" w:color="auto" w:fill="FFFFFF"/>
        </w:rPr>
        <w:t>Violence against women</w:t>
      </w:r>
      <w:r w:rsidRPr="005B7A93">
        <w:rPr>
          <w:rFonts w:ascii="Arial" w:hAnsi="Arial" w:cs="Arial"/>
          <w:color w:val="000000"/>
          <w:shd w:val="clear" w:color="auto" w:fill="FFFFFF"/>
        </w:rPr>
        <w:t>, 13(3):217-239.</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Davis, T. &amp; Harrison, M.L. 2013. </w:t>
      </w:r>
      <w:r w:rsidRPr="005B7A93">
        <w:rPr>
          <w:rFonts w:ascii="Arial" w:hAnsi="Arial" w:cs="Arial"/>
          <w:i/>
          <w:iCs/>
          <w:color w:val="000000"/>
          <w:shd w:val="clear" w:color="auto" w:fill="FFFFFF"/>
        </w:rPr>
        <w:t>Advancing Social Justice: Tools, Pedagogies, and Strategies to Transform Your Campus</w:t>
      </w:r>
      <w:r w:rsidRPr="005B7A93">
        <w:rPr>
          <w:rFonts w:ascii="Arial" w:hAnsi="Arial" w:cs="Arial"/>
          <w:color w:val="000000"/>
          <w:shd w:val="clear" w:color="auto" w:fill="FFFFFF"/>
        </w:rPr>
        <w:t>. San Francisco, CA: Jossey-Bass.</w:t>
      </w:r>
    </w:p>
    <w:p w:rsidR="00EE6B8C" w:rsidRPr="00EE6B8C" w:rsidRDefault="00EE6B8C" w:rsidP="00EE6B8C">
      <w:pPr>
        <w:pStyle w:val="NormalWeb"/>
        <w:ind w:left="720" w:hanging="720"/>
        <w:rPr>
          <w:rFonts w:ascii="Arial" w:hAnsi="Arial" w:cs="Arial"/>
          <w:color w:val="000000"/>
          <w:shd w:val="clear" w:color="auto" w:fill="FFFFFF"/>
          <w:rtl/>
        </w:rPr>
      </w:pPr>
      <w:r w:rsidRPr="00EE6B8C">
        <w:rPr>
          <w:rFonts w:ascii="Arial" w:hAnsi="Arial" w:cs="Arial"/>
          <w:color w:val="000000"/>
          <w:shd w:val="clear" w:color="auto" w:fill="FFFFFF"/>
        </w:rPr>
        <w:t xml:space="preserve">Dworkin, S. L., Hatcher, A., Colvin, C., &amp; Peacock, D. (2016). Examining the impact of a masculinities-based HIV and anti-violence program in Limpopo and Eastern Cape. In S. L. Dworkin, M. Gandhi, &amp; P. </w:t>
      </w:r>
      <w:proofErr w:type="spellStart"/>
      <w:r w:rsidRPr="00EE6B8C">
        <w:rPr>
          <w:rFonts w:ascii="Arial" w:hAnsi="Arial" w:cs="Arial"/>
          <w:color w:val="000000"/>
          <w:shd w:val="clear" w:color="auto" w:fill="FFFFFF"/>
        </w:rPr>
        <w:t>Passano</w:t>
      </w:r>
      <w:proofErr w:type="spellEnd"/>
      <w:r w:rsidRPr="00EE6B8C">
        <w:rPr>
          <w:rFonts w:ascii="Arial" w:hAnsi="Arial" w:cs="Arial"/>
          <w:color w:val="000000"/>
          <w:shd w:val="clear" w:color="auto" w:fill="FFFFFF"/>
        </w:rPr>
        <w:t xml:space="preserve"> (Eds.), Women’s empowerment and global health: A 21st century agenda (pp. 159-173). Berkeley: University of California Press. </w:t>
      </w:r>
    </w:p>
    <w:p w:rsidR="004E0E7C" w:rsidRPr="005B7A93" w:rsidRDefault="00EE6B8C" w:rsidP="00EE6B8C">
      <w:pPr>
        <w:pStyle w:val="NormalWeb"/>
        <w:ind w:left="720" w:hanging="720"/>
        <w:rPr>
          <w:rFonts w:ascii="Arial" w:hAnsi="Arial" w:cs="Arial"/>
          <w:color w:val="000000"/>
          <w:shd w:val="clear" w:color="auto" w:fill="FFFFFF"/>
          <w:rtl/>
        </w:rPr>
      </w:pPr>
      <w:r w:rsidRPr="00EE6B8C">
        <w:rPr>
          <w:rFonts w:ascii="Arial" w:hAnsi="Arial" w:cs="Arial"/>
          <w:color w:val="000000"/>
          <w:shd w:val="clear" w:color="auto" w:fill="FFFFFF"/>
        </w:rPr>
        <w:t xml:space="preserve">Dworkin, S. L., Treves-Kagan, S., &amp; Lippman, S. A. (2013). Gender-transformative </w:t>
      </w:r>
      <w:proofErr w:type="spellStart"/>
      <w:r w:rsidRPr="00EE6B8C">
        <w:rPr>
          <w:rFonts w:ascii="Arial" w:hAnsi="Arial" w:cs="Arial"/>
          <w:color w:val="000000"/>
          <w:shd w:val="clear" w:color="auto" w:fill="FFFFFF"/>
        </w:rPr>
        <w:t>interven</w:t>
      </w:r>
      <w:proofErr w:type="spellEnd"/>
      <w:r w:rsidRPr="00EE6B8C">
        <w:rPr>
          <w:rFonts w:ascii="Arial" w:hAnsi="Arial" w:cs="Arial"/>
          <w:color w:val="000000"/>
          <w:shd w:val="clear" w:color="auto" w:fill="FFFFFF"/>
        </w:rPr>
        <w:t xml:space="preserve">- </w:t>
      </w:r>
      <w:proofErr w:type="spellStart"/>
      <w:r w:rsidRPr="00EE6B8C">
        <w:rPr>
          <w:rFonts w:ascii="Arial" w:hAnsi="Arial" w:cs="Arial"/>
          <w:color w:val="000000"/>
          <w:shd w:val="clear" w:color="auto" w:fill="FFFFFF"/>
        </w:rPr>
        <w:t>tions</w:t>
      </w:r>
      <w:proofErr w:type="spellEnd"/>
      <w:r w:rsidRPr="00EE6B8C">
        <w:rPr>
          <w:rFonts w:ascii="Arial" w:hAnsi="Arial" w:cs="Arial"/>
          <w:color w:val="000000"/>
          <w:shd w:val="clear" w:color="auto" w:fill="FFFFFF"/>
        </w:rPr>
        <w:t xml:space="preserve"> to reduce HIV risks and violence with heterosexually-active men: A review of the global evidence. AIDS and Behavior, 17, 2845-2863. </w:t>
      </w:r>
      <w:r w:rsidR="004E0E7C" w:rsidRPr="005B7A93">
        <w:rPr>
          <w:rFonts w:ascii="Arial" w:hAnsi="Arial" w:cs="Arial"/>
          <w:color w:val="000000"/>
          <w:shd w:val="clear" w:color="auto" w:fill="FFFFFF"/>
        </w:rPr>
        <w:tab/>
      </w:r>
      <w:r w:rsidR="004E0E7C" w:rsidRPr="005B7A93">
        <w:rPr>
          <w:rFonts w:ascii="Arial" w:hAnsi="Arial" w:cs="Arial"/>
          <w:color w:val="000000"/>
          <w:shd w:val="clear" w:color="auto" w:fill="FFFFFF"/>
        </w:rPr>
        <w:tab/>
      </w: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lastRenderedPageBreak/>
        <w:t xml:space="preserve">Fine, G.A. 2004. Adolescence as cultural toolkit: High-school debate and the repertoires of childhood and adulthood. </w:t>
      </w:r>
      <w:r w:rsidRPr="005B7A93">
        <w:rPr>
          <w:rFonts w:ascii="Arial" w:hAnsi="Arial" w:cs="Arial"/>
          <w:i/>
          <w:iCs/>
          <w:color w:val="000000"/>
          <w:shd w:val="clear" w:color="auto" w:fill="FFFFFF"/>
        </w:rPr>
        <w:t>The Sociological Quarterly</w:t>
      </w:r>
      <w:r w:rsidRPr="005B7A93">
        <w:rPr>
          <w:rFonts w:ascii="Arial" w:hAnsi="Arial" w:cs="Arial"/>
          <w:color w:val="000000"/>
          <w:shd w:val="clear" w:color="auto" w:fill="FFFFFF"/>
        </w:rPr>
        <w:t>, 45(1):1-20.</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Funk, R.E. 2006. </w:t>
      </w:r>
      <w:r w:rsidRPr="005B7A93">
        <w:rPr>
          <w:rFonts w:ascii="Arial" w:hAnsi="Arial" w:cs="Arial"/>
          <w:i/>
          <w:iCs/>
          <w:color w:val="000000"/>
          <w:shd w:val="clear" w:color="auto" w:fill="FFFFFF"/>
        </w:rPr>
        <w:t>Reaching men: strategies for preventing sexist attitudes, behaviors, and violence.</w:t>
      </w:r>
      <w:r w:rsidRPr="005B7A93">
        <w:rPr>
          <w:rFonts w:ascii="Arial" w:hAnsi="Arial" w:cs="Arial"/>
          <w:color w:val="000000"/>
          <w:shd w:val="clear" w:color="auto" w:fill="FFFFFF"/>
        </w:rPr>
        <w:t xml:space="preserve"> </w:t>
      </w:r>
      <w:proofErr w:type="spellStart"/>
      <w:r w:rsidRPr="005B7A93">
        <w:rPr>
          <w:rFonts w:ascii="Arial" w:hAnsi="Arial" w:cs="Arial"/>
          <w:color w:val="000000"/>
          <w:shd w:val="clear" w:color="auto" w:fill="FFFFFF"/>
        </w:rPr>
        <w:t>Jist</w:t>
      </w:r>
      <w:proofErr w:type="spellEnd"/>
      <w:r w:rsidRPr="005B7A93">
        <w:rPr>
          <w:rFonts w:ascii="Arial" w:hAnsi="Arial" w:cs="Arial"/>
          <w:color w:val="000000"/>
          <w:shd w:val="clear" w:color="auto" w:fill="FFFFFF"/>
        </w:rPr>
        <w:t xml:space="preserve"> Publishing.</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Johnson, P.S., &amp; Weber, R.B. 2011. Toward a </w:t>
      </w:r>
      <w:proofErr w:type="spellStart"/>
      <w:r w:rsidRPr="005B7A93">
        <w:rPr>
          <w:rFonts w:ascii="Arial" w:hAnsi="Arial" w:cs="Arial"/>
          <w:color w:val="000000"/>
          <w:shd w:val="clear" w:color="auto" w:fill="FFFFFF"/>
        </w:rPr>
        <w:t>genderful</w:t>
      </w:r>
      <w:proofErr w:type="spellEnd"/>
      <w:r w:rsidRPr="005B7A93">
        <w:rPr>
          <w:rFonts w:ascii="Arial" w:hAnsi="Arial" w:cs="Arial"/>
          <w:color w:val="000000"/>
          <w:shd w:val="clear" w:color="auto" w:fill="FFFFFF"/>
        </w:rPr>
        <w:t xml:space="preserve"> pedagogy and the teaching of masculinity. </w:t>
      </w:r>
      <w:r w:rsidRPr="005B7A93">
        <w:rPr>
          <w:rFonts w:ascii="Arial" w:hAnsi="Arial" w:cs="Arial"/>
          <w:i/>
          <w:iCs/>
          <w:color w:val="000000"/>
          <w:shd w:val="clear" w:color="auto" w:fill="FFFFFF"/>
        </w:rPr>
        <w:t>The Journal of Men's Studies</w:t>
      </w:r>
      <w:r w:rsidRPr="005B7A93">
        <w:rPr>
          <w:rFonts w:ascii="Arial" w:hAnsi="Arial" w:cs="Arial"/>
          <w:color w:val="000000"/>
          <w:shd w:val="clear" w:color="auto" w:fill="FFFFFF"/>
        </w:rPr>
        <w:t>, 19(2):138-158.</w:t>
      </w:r>
    </w:p>
    <w:p w:rsidR="00EE6B8C" w:rsidRDefault="00EE6B8C" w:rsidP="00EE6B8C">
      <w:pPr>
        <w:widowControl w:val="0"/>
        <w:suppressAutoHyphens/>
        <w:bidi w:val="0"/>
        <w:spacing w:after="100" w:afterAutospacing="1"/>
        <w:ind w:left="720" w:hanging="720"/>
        <w:contextualSpacing/>
        <w:jc w:val="both"/>
        <w:rPr>
          <w:rFonts w:ascii="Arial" w:hAnsi="Arial" w:cs="Arial"/>
          <w:color w:val="000000"/>
          <w:shd w:val="clear" w:color="auto" w:fill="FFFFFF"/>
        </w:rPr>
      </w:pPr>
    </w:p>
    <w:p w:rsidR="00EE6B8C" w:rsidRPr="00EE6B8C" w:rsidRDefault="00EE6B8C" w:rsidP="00EE6B8C">
      <w:pPr>
        <w:widowControl w:val="0"/>
        <w:suppressAutoHyphens/>
        <w:bidi w:val="0"/>
        <w:spacing w:after="100" w:afterAutospacing="1"/>
        <w:ind w:left="720" w:hanging="720"/>
        <w:contextualSpacing/>
        <w:jc w:val="both"/>
        <w:rPr>
          <w:rFonts w:ascii="Arial" w:hAnsi="Arial" w:cs="Arial"/>
          <w:color w:val="000000"/>
          <w:shd w:val="clear" w:color="auto" w:fill="FFFFFF"/>
          <w:rtl/>
        </w:rPr>
      </w:pPr>
      <w:r w:rsidRPr="00EE6B8C">
        <w:rPr>
          <w:rFonts w:ascii="Arial" w:hAnsi="Arial" w:cs="Arial"/>
          <w:color w:val="000000"/>
          <w:shd w:val="clear" w:color="auto" w:fill="FFFFFF"/>
        </w:rPr>
        <w:t xml:space="preserve">Katz, J. (2018). Bystander training as leadership training: Notes on the origins, philosophy, and pedagogy of the mentors in violence training. Violence Against Women, 24, 1755- 1776. </w:t>
      </w:r>
    </w:p>
    <w:p w:rsidR="00EE6B8C" w:rsidRPr="005B7A93" w:rsidRDefault="00EE6B8C" w:rsidP="00EE6B8C">
      <w:pPr>
        <w:widowControl w:val="0"/>
        <w:suppressAutoHyphens/>
        <w:bidi w:val="0"/>
        <w:spacing w:after="100" w:afterAutospacing="1"/>
        <w:ind w:left="720" w:hanging="720"/>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Keddie, A. 2008. Teacher stories of collusion and transformation: A feminist pedagogical framework and meta-language for cultural gender justice. </w:t>
      </w:r>
      <w:r w:rsidRPr="005B7A93">
        <w:rPr>
          <w:rFonts w:ascii="Arial" w:hAnsi="Arial" w:cs="Arial"/>
          <w:i/>
          <w:iCs/>
          <w:color w:val="000000"/>
          <w:shd w:val="clear" w:color="auto" w:fill="FFFFFF"/>
        </w:rPr>
        <w:t>Journal of Education Policy</w:t>
      </w:r>
      <w:r w:rsidRPr="005B7A93">
        <w:rPr>
          <w:rFonts w:ascii="Arial" w:hAnsi="Arial" w:cs="Arial"/>
          <w:color w:val="000000"/>
          <w:shd w:val="clear" w:color="auto" w:fill="FFFFFF"/>
        </w:rPr>
        <w:t>, 23(4):343-357.</w:t>
      </w: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highlight w:val="yellow"/>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Keddie, A. 2010. Feminist struggles to </w:t>
      </w:r>
      <w:proofErr w:type="spellStart"/>
      <w:r w:rsidRPr="005B7A93">
        <w:rPr>
          <w:rFonts w:ascii="Arial" w:hAnsi="Arial" w:cs="Arial"/>
          <w:color w:val="000000"/>
          <w:shd w:val="clear" w:color="auto" w:fill="FFFFFF"/>
        </w:rPr>
        <w:t>mobilise</w:t>
      </w:r>
      <w:proofErr w:type="spellEnd"/>
      <w:r w:rsidRPr="005B7A93">
        <w:rPr>
          <w:rFonts w:ascii="Arial" w:hAnsi="Arial" w:cs="Arial"/>
          <w:color w:val="000000"/>
          <w:shd w:val="clear" w:color="auto" w:fill="FFFFFF"/>
        </w:rPr>
        <w:t xml:space="preserve"> progressive spaces within the ‘boy-turn’ in gender equity and schooling reform. </w:t>
      </w:r>
      <w:r w:rsidRPr="005B7A93">
        <w:rPr>
          <w:rFonts w:ascii="Arial" w:hAnsi="Arial" w:cs="Arial"/>
          <w:i/>
          <w:iCs/>
          <w:color w:val="000000"/>
          <w:shd w:val="clear" w:color="auto" w:fill="FFFFFF"/>
        </w:rPr>
        <w:t>Gender and Education</w:t>
      </w:r>
      <w:r w:rsidRPr="005B7A93">
        <w:rPr>
          <w:rFonts w:ascii="Arial" w:hAnsi="Arial" w:cs="Arial"/>
          <w:color w:val="000000"/>
          <w:shd w:val="clear" w:color="auto" w:fill="FFFFFF"/>
        </w:rPr>
        <w:t>, 22(4):353-368.</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Merrell, K., </w:t>
      </w:r>
      <w:proofErr w:type="spellStart"/>
      <w:r w:rsidRPr="005B7A93">
        <w:rPr>
          <w:rFonts w:ascii="Arial" w:hAnsi="Arial" w:cs="Arial"/>
          <w:color w:val="000000"/>
          <w:shd w:val="clear" w:color="auto" w:fill="FFFFFF"/>
        </w:rPr>
        <w:t>Gueldner</w:t>
      </w:r>
      <w:proofErr w:type="spellEnd"/>
      <w:r w:rsidRPr="005B7A93">
        <w:rPr>
          <w:rFonts w:ascii="Arial" w:hAnsi="Arial" w:cs="Arial"/>
          <w:color w:val="000000"/>
          <w:shd w:val="clear" w:color="auto" w:fill="FFFFFF"/>
        </w:rPr>
        <w:t xml:space="preserve">, B., Ross, S. W., &amp; </w:t>
      </w:r>
      <w:proofErr w:type="spellStart"/>
      <w:r w:rsidRPr="005B7A93">
        <w:rPr>
          <w:rFonts w:ascii="Arial" w:hAnsi="Arial" w:cs="Arial"/>
          <w:color w:val="000000"/>
          <w:shd w:val="clear" w:color="auto" w:fill="FFFFFF"/>
        </w:rPr>
        <w:t>Isava</w:t>
      </w:r>
      <w:proofErr w:type="spellEnd"/>
      <w:r w:rsidRPr="005B7A93">
        <w:rPr>
          <w:rFonts w:ascii="Arial" w:hAnsi="Arial" w:cs="Arial"/>
          <w:color w:val="000000"/>
          <w:shd w:val="clear" w:color="auto" w:fill="FFFFFF"/>
        </w:rPr>
        <w:t xml:space="preserve">, D. (2008) How effective are school bullying intervention programs? A meta-analysis of intervention research. </w:t>
      </w:r>
      <w:r w:rsidRPr="005B7A93">
        <w:rPr>
          <w:rFonts w:ascii="Arial" w:hAnsi="Arial" w:cs="Arial"/>
          <w:i/>
          <w:iCs/>
          <w:color w:val="000000"/>
          <w:shd w:val="clear" w:color="auto" w:fill="FFFFFF"/>
        </w:rPr>
        <w:t>School Psychology Quarterly</w:t>
      </w:r>
      <w:r w:rsidRPr="005B7A93">
        <w:rPr>
          <w:rFonts w:ascii="Arial" w:hAnsi="Arial" w:cs="Arial"/>
          <w:color w:val="000000"/>
          <w:shd w:val="clear" w:color="auto" w:fill="FFFFFF"/>
        </w:rPr>
        <w:t>, 23(1):26-42.</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Miller-Bernal, L. 2000. </w:t>
      </w:r>
      <w:r w:rsidRPr="005B7A93">
        <w:rPr>
          <w:rFonts w:ascii="Arial" w:hAnsi="Arial" w:cs="Arial"/>
          <w:i/>
          <w:iCs/>
          <w:color w:val="000000"/>
          <w:shd w:val="clear" w:color="auto" w:fill="FFFFFF"/>
        </w:rPr>
        <w:t>Separate by Degree: Women Students’ Experiences in Single-Sex and Coeducational Colleges</w:t>
      </w:r>
      <w:r w:rsidRPr="005B7A93">
        <w:rPr>
          <w:rFonts w:ascii="Arial" w:hAnsi="Arial" w:cs="Arial"/>
          <w:color w:val="000000"/>
          <w:shd w:val="clear" w:color="auto" w:fill="FFFFFF"/>
        </w:rPr>
        <w:t>. New York: P. Lang.</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proofErr w:type="spellStart"/>
      <w:r w:rsidRPr="005B7A93">
        <w:rPr>
          <w:rFonts w:ascii="Arial" w:hAnsi="Arial" w:cs="Arial"/>
          <w:color w:val="000000"/>
          <w:shd w:val="clear" w:color="auto" w:fill="FFFFFF"/>
        </w:rPr>
        <w:t>Mlama</w:t>
      </w:r>
      <w:proofErr w:type="spellEnd"/>
      <w:r w:rsidRPr="005B7A93">
        <w:rPr>
          <w:rFonts w:ascii="Arial" w:hAnsi="Arial" w:cs="Arial"/>
          <w:color w:val="000000"/>
          <w:shd w:val="clear" w:color="auto" w:fill="FFFFFF"/>
        </w:rPr>
        <w:t xml:space="preserve">, P., </w:t>
      </w:r>
      <w:proofErr w:type="spellStart"/>
      <w:r w:rsidRPr="005B7A93">
        <w:rPr>
          <w:rFonts w:ascii="Arial" w:hAnsi="Arial" w:cs="Arial"/>
          <w:color w:val="000000"/>
          <w:shd w:val="clear" w:color="auto" w:fill="FFFFFF"/>
        </w:rPr>
        <w:t>Dioum</w:t>
      </w:r>
      <w:proofErr w:type="spellEnd"/>
      <w:r w:rsidRPr="005B7A93">
        <w:rPr>
          <w:rFonts w:ascii="Arial" w:hAnsi="Arial" w:cs="Arial"/>
          <w:color w:val="000000"/>
          <w:shd w:val="clear" w:color="auto" w:fill="FFFFFF"/>
        </w:rPr>
        <w:t xml:space="preserve">, M.,  </w:t>
      </w:r>
      <w:proofErr w:type="spellStart"/>
      <w:r w:rsidRPr="005B7A93">
        <w:rPr>
          <w:rFonts w:ascii="Arial" w:hAnsi="Arial" w:cs="Arial"/>
          <w:color w:val="000000"/>
          <w:shd w:val="clear" w:color="auto" w:fill="FFFFFF"/>
        </w:rPr>
        <w:t>Makoye</w:t>
      </w:r>
      <w:proofErr w:type="spellEnd"/>
      <w:r w:rsidRPr="005B7A93">
        <w:rPr>
          <w:rFonts w:ascii="Arial" w:hAnsi="Arial" w:cs="Arial"/>
          <w:color w:val="000000"/>
          <w:shd w:val="clear" w:color="auto" w:fill="FFFFFF"/>
        </w:rPr>
        <w:t xml:space="preserve">, H.  Murage, L. Wagah, M., &amp; </w:t>
      </w:r>
      <w:proofErr w:type="spellStart"/>
      <w:r w:rsidRPr="005B7A93">
        <w:rPr>
          <w:rFonts w:ascii="Arial" w:hAnsi="Arial" w:cs="Arial"/>
          <w:color w:val="000000"/>
          <w:shd w:val="clear" w:color="auto" w:fill="FFFFFF"/>
        </w:rPr>
        <w:t>Washika</w:t>
      </w:r>
      <w:proofErr w:type="spellEnd"/>
      <w:r w:rsidRPr="005B7A93">
        <w:rPr>
          <w:rFonts w:ascii="Arial" w:hAnsi="Arial" w:cs="Arial"/>
          <w:color w:val="000000"/>
          <w:shd w:val="clear" w:color="auto" w:fill="FFFFFF"/>
        </w:rPr>
        <w:t>, R. 2005. Gender responsive pedagogy: A teacher's handbook. From:</w:t>
      </w:r>
    </w:p>
    <w:p w:rsidR="004E0E7C" w:rsidRPr="005B7A93" w:rsidRDefault="00722EFF" w:rsidP="00173F41">
      <w:pPr>
        <w:widowControl w:val="0"/>
        <w:suppressAutoHyphens/>
        <w:bidi w:val="0"/>
        <w:spacing w:after="100" w:afterAutospacing="1"/>
        <w:ind w:left="720"/>
        <w:contextualSpacing/>
        <w:jc w:val="both"/>
        <w:rPr>
          <w:rFonts w:ascii="Arial" w:hAnsi="Arial" w:cs="Arial"/>
          <w:color w:val="000000"/>
          <w:shd w:val="clear" w:color="auto" w:fill="FFFFFF"/>
        </w:rPr>
      </w:pPr>
      <w:hyperlink r:id="rId9" w:history="1">
        <w:r w:rsidR="004E0E7C" w:rsidRPr="005B7A93">
          <w:rPr>
            <w:rStyle w:val="Hyperlink"/>
            <w:rFonts w:ascii="Arial" w:hAnsi="Arial" w:cs="Arial"/>
            <w:shd w:val="clear" w:color="auto" w:fill="FFFFFF"/>
          </w:rPr>
          <w:t>http://www.ungei.org/files/FAWE_GRP_ENGLISH_VERSION.pdf</w:t>
        </w:r>
      </w:hyperlink>
      <w:r w:rsidR="004E0E7C" w:rsidRPr="005B7A93">
        <w:rPr>
          <w:rFonts w:ascii="Arial" w:hAnsi="Arial" w:cs="Arial"/>
          <w:color w:val="000000"/>
          <w:shd w:val="clear" w:color="auto" w:fill="FFFFFF"/>
        </w:rPr>
        <w:t xml:space="preserve"> </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tl/>
        </w:rPr>
      </w:pPr>
      <w:proofErr w:type="spellStart"/>
      <w:r w:rsidRPr="005B7A93">
        <w:rPr>
          <w:rFonts w:ascii="Arial" w:hAnsi="Arial" w:cs="Arial"/>
          <w:color w:val="000000"/>
          <w:shd w:val="clear" w:color="auto" w:fill="FFFFFF"/>
        </w:rPr>
        <w:t>Novogrodsky</w:t>
      </w:r>
      <w:proofErr w:type="spellEnd"/>
      <w:r w:rsidRPr="005B7A93">
        <w:rPr>
          <w:rFonts w:ascii="Arial" w:hAnsi="Arial" w:cs="Arial"/>
          <w:color w:val="000000"/>
          <w:shd w:val="clear" w:color="auto" w:fill="FFFFFF"/>
        </w:rPr>
        <w:t xml:space="preserve">, M., Kaufman, M., Holland, D. &amp; Well, M. 1992. Retreat for the future: an anti-sexist workshop for high-schoolers. </w:t>
      </w:r>
      <w:r w:rsidRPr="005B7A93">
        <w:rPr>
          <w:rFonts w:ascii="Arial" w:hAnsi="Arial" w:cs="Arial"/>
          <w:i/>
          <w:iCs/>
          <w:color w:val="000000"/>
          <w:shd w:val="clear" w:color="auto" w:fill="FFFFFF"/>
        </w:rPr>
        <w:t>Our School/Ourselves</w:t>
      </w:r>
      <w:r w:rsidRPr="005B7A93">
        <w:rPr>
          <w:rFonts w:ascii="Arial" w:hAnsi="Arial" w:cs="Arial"/>
          <w:color w:val="000000"/>
          <w:shd w:val="clear" w:color="auto" w:fill="FFFFFF"/>
        </w:rPr>
        <w:t>, 3(4):67-87.</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EE6B8C" w:rsidRPr="005B7A93" w:rsidRDefault="004E0E7C" w:rsidP="00EE6B8C">
      <w:pPr>
        <w:widowControl w:val="0"/>
        <w:suppressAutoHyphens/>
        <w:bidi w:val="0"/>
        <w:spacing w:after="100" w:afterAutospacing="1"/>
        <w:ind w:left="720" w:hanging="720"/>
        <w:contextualSpacing/>
        <w:jc w:val="both"/>
        <w:rPr>
          <w:rFonts w:ascii="Arial" w:hAnsi="Arial" w:cs="Arial"/>
          <w:color w:val="000000"/>
          <w:shd w:val="clear" w:color="auto" w:fill="FFFFFF"/>
          <w:rtl/>
        </w:rPr>
      </w:pPr>
      <w:r w:rsidRPr="005B7A93">
        <w:rPr>
          <w:rFonts w:ascii="Arial" w:hAnsi="Arial" w:cs="Arial"/>
          <w:color w:val="000000"/>
          <w:shd w:val="clear" w:color="auto" w:fill="FFFFFF"/>
        </w:rPr>
        <w:t xml:space="preserve">Peacock, D., &amp; Barker, Gary. 2014. Working with Men and Boys to Prevent Gender-based Violence: Principles, Lessons Learned, and Ways Forward. </w:t>
      </w:r>
      <w:r w:rsidRPr="005B7A93">
        <w:rPr>
          <w:rFonts w:ascii="Arial" w:hAnsi="Arial" w:cs="Arial"/>
          <w:i/>
          <w:iCs/>
          <w:color w:val="000000"/>
          <w:shd w:val="clear" w:color="auto" w:fill="FFFFFF"/>
        </w:rPr>
        <w:t>Men and Masculinities</w:t>
      </w:r>
      <w:r w:rsidRPr="005B7A93">
        <w:rPr>
          <w:rFonts w:ascii="Arial" w:hAnsi="Arial" w:cs="Arial"/>
          <w:color w:val="000000"/>
          <w:shd w:val="clear" w:color="auto" w:fill="FFFFFF"/>
        </w:rPr>
        <w:t>, 17(5):578-599.</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proofErr w:type="spellStart"/>
      <w:r w:rsidRPr="005B7A93">
        <w:rPr>
          <w:rFonts w:ascii="Arial" w:hAnsi="Arial" w:cs="Arial"/>
          <w:color w:val="000000"/>
          <w:shd w:val="clear" w:color="auto" w:fill="FFFFFF"/>
        </w:rPr>
        <w:t>Salo</w:t>
      </w:r>
      <w:proofErr w:type="spellEnd"/>
      <w:r w:rsidRPr="005B7A93">
        <w:rPr>
          <w:rFonts w:ascii="Arial" w:hAnsi="Arial" w:cs="Arial"/>
          <w:color w:val="000000"/>
          <w:shd w:val="clear" w:color="auto" w:fill="FFFFFF"/>
        </w:rPr>
        <w:t xml:space="preserve">, P. 2008. Decision-making as a struggle and a play - On Alternative Rationalities in Schools as Organizations. </w:t>
      </w:r>
      <w:r w:rsidRPr="005B7A93">
        <w:rPr>
          <w:rFonts w:ascii="Arial" w:hAnsi="Arial" w:cs="Arial"/>
          <w:i/>
          <w:iCs/>
          <w:color w:val="000000"/>
          <w:shd w:val="clear" w:color="auto" w:fill="FFFFFF"/>
        </w:rPr>
        <w:t>Educational Management Administration &amp; Leadership</w:t>
      </w:r>
      <w:r w:rsidRPr="005B7A93">
        <w:rPr>
          <w:rFonts w:ascii="Arial" w:hAnsi="Arial" w:cs="Arial"/>
          <w:color w:val="000000"/>
          <w:shd w:val="clear" w:color="auto" w:fill="FFFFFF"/>
        </w:rPr>
        <w:t>, 36(4):495-510.</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Titus, J.J. 2000. Engaging student resistance to feminism: 'How is this stuff going to make us better teachers? </w:t>
      </w:r>
      <w:r w:rsidRPr="005B7A93">
        <w:rPr>
          <w:rFonts w:ascii="Arial" w:hAnsi="Arial" w:cs="Arial"/>
          <w:i/>
          <w:iCs/>
          <w:color w:val="000000"/>
          <w:shd w:val="clear" w:color="auto" w:fill="FFFFFF"/>
        </w:rPr>
        <w:t>Gender and Education,</w:t>
      </w:r>
      <w:r w:rsidRPr="005B7A93">
        <w:rPr>
          <w:rFonts w:ascii="Arial" w:hAnsi="Arial" w:cs="Arial"/>
          <w:color w:val="000000"/>
          <w:shd w:val="clear" w:color="auto" w:fill="FFFFFF"/>
        </w:rPr>
        <w:t xml:space="preserve"> 12(1):21-37.</w:t>
      </w:r>
    </w:p>
    <w:p w:rsidR="004E0E7C" w:rsidRPr="005B7A93" w:rsidRDefault="004E0E7C" w:rsidP="00173F41">
      <w:pPr>
        <w:widowControl w:val="0"/>
        <w:tabs>
          <w:tab w:val="left" w:pos="4227"/>
        </w:tabs>
        <w:suppressAutoHyphens/>
        <w:bidi w:val="0"/>
        <w:spacing w:after="100" w:afterAutospacing="1"/>
        <w:contextualSpacing/>
        <w:jc w:val="both"/>
        <w:rPr>
          <w:rFonts w:ascii="Arial" w:hAnsi="Arial" w:cs="Arial"/>
          <w:color w:val="000000"/>
          <w:shd w:val="clear" w:color="auto" w:fill="FFFFFF"/>
        </w:rPr>
      </w:pPr>
      <w:r w:rsidRPr="005B7A93">
        <w:rPr>
          <w:rFonts w:ascii="Arial" w:hAnsi="Arial" w:cs="Arial"/>
          <w:color w:val="000000"/>
          <w:shd w:val="clear" w:color="auto" w:fill="FFFFFF"/>
        </w:rPr>
        <w:tab/>
      </w: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Turnbull, T., van Schaik, P. &amp; van </w:t>
      </w:r>
      <w:proofErr w:type="spellStart"/>
      <w:r w:rsidRPr="005B7A93">
        <w:rPr>
          <w:rFonts w:ascii="Arial" w:hAnsi="Arial" w:cs="Arial"/>
          <w:color w:val="000000"/>
          <w:shd w:val="clear" w:color="auto" w:fill="FFFFFF"/>
        </w:rPr>
        <w:t>Wersch</w:t>
      </w:r>
      <w:proofErr w:type="spellEnd"/>
      <w:r w:rsidRPr="005B7A93">
        <w:rPr>
          <w:rFonts w:ascii="Arial" w:hAnsi="Arial" w:cs="Arial"/>
          <w:color w:val="000000"/>
          <w:shd w:val="clear" w:color="auto" w:fill="FFFFFF"/>
        </w:rPr>
        <w:t xml:space="preserve">, A. 2010. Adolescents' preferences regarding sex education and relationship education. </w:t>
      </w:r>
      <w:r w:rsidRPr="005B7A93">
        <w:rPr>
          <w:rFonts w:ascii="Arial" w:hAnsi="Arial" w:cs="Arial"/>
          <w:i/>
          <w:iCs/>
          <w:color w:val="000000"/>
          <w:shd w:val="clear" w:color="auto" w:fill="FFFFFF"/>
        </w:rPr>
        <w:t>Health Education Journal</w:t>
      </w:r>
      <w:r w:rsidRPr="005B7A93">
        <w:rPr>
          <w:rFonts w:ascii="Arial" w:hAnsi="Arial" w:cs="Arial"/>
          <w:color w:val="000000"/>
          <w:shd w:val="clear" w:color="auto" w:fill="FFFFFF"/>
        </w:rPr>
        <w:t>, 69(3):277-286.</w:t>
      </w:r>
      <w:r w:rsidRPr="005B7A93">
        <w:rPr>
          <w:rFonts w:ascii="Arial" w:hAnsi="Arial" w:cs="Arial"/>
          <w:color w:val="000000"/>
          <w:shd w:val="clear" w:color="auto" w:fill="FFFFFF"/>
          <w:rtl/>
        </w:rPr>
        <w:t xml:space="preserve"> </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lastRenderedPageBreak/>
        <w:t xml:space="preserve">UNESCO, 2012. Education sector responses to homophobic bullying. From: </w:t>
      </w:r>
    </w:p>
    <w:p w:rsidR="004E0E7C" w:rsidRPr="005B7A93" w:rsidRDefault="004E0E7C" w:rsidP="00173F41">
      <w:pPr>
        <w:widowControl w:val="0"/>
        <w:suppressAutoHyphens/>
        <w:bidi w:val="0"/>
        <w:spacing w:after="100" w:afterAutospacing="1"/>
        <w:ind w:left="720"/>
        <w:contextualSpacing/>
        <w:jc w:val="both"/>
        <w:rPr>
          <w:rFonts w:ascii="Arial" w:hAnsi="Arial" w:cs="Arial"/>
          <w:color w:val="000000"/>
          <w:shd w:val="clear" w:color="auto" w:fill="FFFFFF"/>
        </w:rPr>
      </w:pPr>
      <w:r w:rsidRPr="005B7A93">
        <w:rPr>
          <w:rFonts w:ascii="Arial" w:hAnsi="Arial" w:cs="Arial"/>
          <w:color w:val="000000"/>
          <w:shd w:val="clear" w:color="auto" w:fill="FFFFFF"/>
        </w:rPr>
        <w:t>http://unesdoc.unesco.org/images/0021/002164/216493e.pdf</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Weaver-Hightower, M.B. 2010. Using action research to challenge stereotypes: A case study of boys' education work in Australia. </w:t>
      </w:r>
      <w:r w:rsidRPr="005B7A93">
        <w:rPr>
          <w:rFonts w:ascii="Arial" w:hAnsi="Arial" w:cs="Arial"/>
          <w:i/>
          <w:iCs/>
          <w:color w:val="000000"/>
          <w:shd w:val="clear" w:color="auto" w:fill="FFFFFF"/>
        </w:rPr>
        <w:t>Action Research</w:t>
      </w:r>
      <w:r w:rsidRPr="005B7A93">
        <w:rPr>
          <w:rFonts w:ascii="Arial" w:hAnsi="Arial" w:cs="Arial"/>
          <w:color w:val="000000"/>
          <w:shd w:val="clear" w:color="auto" w:fill="FFFFFF"/>
        </w:rPr>
        <w:t>, 8(3):333–356.</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4E0E7C" w:rsidRPr="005B7A93"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WHO (World Health Organization). 2007. </w:t>
      </w:r>
      <w:r w:rsidRPr="005B7A93">
        <w:rPr>
          <w:rFonts w:ascii="Arial" w:hAnsi="Arial" w:cs="Arial"/>
          <w:i/>
          <w:iCs/>
          <w:color w:val="000000"/>
          <w:shd w:val="clear" w:color="auto" w:fill="FFFFFF"/>
        </w:rPr>
        <w:t xml:space="preserve">Engaging men and boys in changing gender - based Geneva. Inequity in Health: Evidence from </w:t>
      </w:r>
      <w:proofErr w:type="spellStart"/>
      <w:r w:rsidRPr="005B7A93">
        <w:rPr>
          <w:rFonts w:ascii="Arial" w:hAnsi="Arial" w:cs="Arial"/>
          <w:i/>
          <w:iCs/>
          <w:color w:val="000000"/>
          <w:shd w:val="clear" w:color="auto" w:fill="FFFFFF"/>
        </w:rPr>
        <w:t>Programme</w:t>
      </w:r>
      <w:proofErr w:type="spellEnd"/>
      <w:r w:rsidRPr="005B7A93">
        <w:rPr>
          <w:rFonts w:ascii="Arial" w:hAnsi="Arial" w:cs="Arial"/>
          <w:i/>
          <w:iCs/>
          <w:color w:val="000000"/>
          <w:shd w:val="clear" w:color="auto" w:fill="FFFFFF"/>
        </w:rPr>
        <w:t xml:space="preserve"> Interventions</w:t>
      </w:r>
      <w:r w:rsidRPr="005B7A93">
        <w:rPr>
          <w:rFonts w:ascii="Arial" w:hAnsi="Arial" w:cs="Arial"/>
          <w:color w:val="000000"/>
          <w:shd w:val="clear" w:color="auto" w:fill="FFFFFF"/>
        </w:rPr>
        <w:t xml:space="preserve">. </w:t>
      </w:r>
    </w:p>
    <w:p w:rsidR="004E0E7C" w:rsidRPr="005B7A93" w:rsidRDefault="004E0E7C" w:rsidP="00173F41">
      <w:pPr>
        <w:widowControl w:val="0"/>
        <w:suppressAutoHyphens/>
        <w:bidi w:val="0"/>
        <w:spacing w:after="100" w:afterAutospacing="1"/>
        <w:ind w:left="720"/>
        <w:contextualSpacing/>
        <w:jc w:val="both"/>
        <w:rPr>
          <w:rFonts w:ascii="Arial" w:hAnsi="Arial" w:cs="Arial"/>
          <w:color w:val="000000"/>
          <w:shd w:val="clear" w:color="auto" w:fill="FFFFFF"/>
        </w:rPr>
      </w:pPr>
      <w:r w:rsidRPr="005B7A93">
        <w:rPr>
          <w:rFonts w:ascii="Arial" w:hAnsi="Arial" w:cs="Arial"/>
          <w:color w:val="000000"/>
          <w:shd w:val="clear" w:color="auto" w:fill="FFFFFF"/>
        </w:rPr>
        <w:t xml:space="preserve">extranet.who.int/iris/restricted/bitstream/10665/43679/1/9789241595490_eng.pdf </w:t>
      </w:r>
    </w:p>
    <w:p w:rsidR="004E0E7C" w:rsidRPr="005B7A93" w:rsidRDefault="004E0E7C" w:rsidP="00173F41">
      <w:pPr>
        <w:widowControl w:val="0"/>
        <w:suppressAutoHyphens/>
        <w:bidi w:val="0"/>
        <w:spacing w:after="100" w:afterAutospacing="1"/>
        <w:contextualSpacing/>
        <w:jc w:val="both"/>
        <w:rPr>
          <w:rFonts w:ascii="Arial" w:hAnsi="Arial" w:cs="Arial"/>
          <w:color w:val="000000"/>
          <w:shd w:val="clear" w:color="auto" w:fill="FFFFFF"/>
        </w:rPr>
      </w:pPr>
    </w:p>
    <w:p w:rsidR="00EE5E21" w:rsidRDefault="004E0E7C" w:rsidP="00173F41">
      <w:pPr>
        <w:widowControl w:val="0"/>
        <w:suppressAutoHyphens/>
        <w:bidi w:val="0"/>
        <w:spacing w:after="100" w:afterAutospacing="1"/>
        <w:ind w:left="720" w:hanging="720"/>
        <w:contextualSpacing/>
        <w:jc w:val="both"/>
        <w:rPr>
          <w:rFonts w:ascii="Arial" w:hAnsi="Arial" w:cs="Arial"/>
          <w:color w:val="000000"/>
          <w:shd w:val="clear" w:color="auto" w:fill="FFFFFF"/>
          <w:rtl/>
        </w:rPr>
      </w:pPr>
      <w:r w:rsidRPr="005B7A93">
        <w:rPr>
          <w:rFonts w:ascii="Arial" w:hAnsi="Arial" w:cs="Arial"/>
          <w:color w:val="000000"/>
          <w:shd w:val="clear" w:color="auto" w:fill="FFFFFF"/>
        </w:rPr>
        <w:t xml:space="preserve">Wilson, S.J. &amp; Lipsey, M.W. 2007. School-based interventions for aggressive and disruptive </w:t>
      </w:r>
      <w:proofErr w:type="spellStart"/>
      <w:r w:rsidRPr="005B7A93">
        <w:rPr>
          <w:rFonts w:ascii="Arial" w:hAnsi="Arial" w:cs="Arial"/>
          <w:color w:val="000000"/>
          <w:shd w:val="clear" w:color="auto" w:fill="FFFFFF"/>
        </w:rPr>
        <w:t>behaviour</w:t>
      </w:r>
      <w:proofErr w:type="spellEnd"/>
      <w:r w:rsidRPr="005B7A93">
        <w:rPr>
          <w:rFonts w:ascii="Arial" w:hAnsi="Arial" w:cs="Arial"/>
          <w:color w:val="000000"/>
          <w:shd w:val="clear" w:color="auto" w:fill="FFFFFF"/>
        </w:rPr>
        <w:t xml:space="preserve">: Update of meta-analysis. </w:t>
      </w:r>
      <w:r w:rsidRPr="005B7A93">
        <w:rPr>
          <w:rFonts w:ascii="Arial" w:hAnsi="Arial" w:cs="Arial"/>
          <w:i/>
          <w:iCs/>
          <w:color w:val="000000"/>
          <w:shd w:val="clear" w:color="auto" w:fill="FFFFFF"/>
        </w:rPr>
        <w:t>American Journal of preventive Medicine</w:t>
      </w:r>
      <w:r w:rsidRPr="005B7A93">
        <w:rPr>
          <w:rFonts w:ascii="Arial" w:hAnsi="Arial" w:cs="Arial"/>
          <w:color w:val="000000"/>
          <w:shd w:val="clear" w:color="auto" w:fill="FFFFFF"/>
        </w:rPr>
        <w:t>, 33(2):139-143</w:t>
      </w:r>
      <w:r w:rsidR="00376F6E" w:rsidRPr="005B7A93">
        <w:rPr>
          <w:rFonts w:ascii="Arial" w:hAnsi="Arial" w:cs="Arial"/>
          <w:rtl/>
        </w:rPr>
        <w:t xml:space="preserve"> </w:t>
      </w:r>
    </w:p>
    <w:p w:rsidR="00EE6B8C" w:rsidRDefault="00EE6B8C" w:rsidP="00EE6B8C">
      <w:pPr>
        <w:widowControl w:val="0"/>
        <w:suppressAutoHyphens/>
        <w:bidi w:val="0"/>
        <w:spacing w:after="100" w:afterAutospacing="1"/>
        <w:ind w:left="720" w:hanging="720"/>
        <w:contextualSpacing/>
        <w:jc w:val="both"/>
        <w:rPr>
          <w:rFonts w:ascii="Arial" w:hAnsi="Arial" w:cs="Arial"/>
          <w:color w:val="000000"/>
          <w:shd w:val="clear" w:color="auto" w:fill="FFFFFF"/>
          <w:rtl/>
        </w:rPr>
      </w:pPr>
    </w:p>
    <w:p w:rsidR="00EE6B8C" w:rsidRPr="005B7A93" w:rsidRDefault="00EE6B8C" w:rsidP="00EE6B8C">
      <w:pPr>
        <w:widowControl w:val="0"/>
        <w:suppressAutoHyphens/>
        <w:bidi w:val="0"/>
        <w:spacing w:after="100" w:afterAutospacing="1"/>
        <w:ind w:left="720" w:hanging="720"/>
        <w:contextualSpacing/>
        <w:jc w:val="both"/>
        <w:rPr>
          <w:rFonts w:ascii="Arial" w:hAnsi="Arial" w:cs="Arial"/>
          <w:color w:val="000000"/>
          <w:shd w:val="clear" w:color="auto" w:fill="FFFFFF"/>
        </w:rPr>
      </w:pPr>
    </w:p>
    <w:sectPr w:rsidR="00EE6B8C" w:rsidRPr="005B7A93" w:rsidSect="00C862BA">
      <w:headerReference w:type="default" r:id="rId10"/>
      <w:pgSz w:w="11906" w:h="16838"/>
      <w:pgMar w:top="1440" w:right="1418" w:bottom="1440"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A4C" w:rsidRDefault="002D4A4C">
      <w:r>
        <w:separator/>
      </w:r>
    </w:p>
  </w:endnote>
  <w:endnote w:type="continuationSeparator" w:id="0">
    <w:p w:rsidR="002D4A4C" w:rsidRDefault="002D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UIText">
    <w:charset w:val="88"/>
    <w:family w:val="auto"/>
    <w:pitch w:val="variable"/>
    <w:sig w:usb0="2000028F" w:usb1="0A080003" w:usb2="00000010" w:usb3="00000000" w:csb0="001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A4C" w:rsidRDefault="002D4A4C">
      <w:r>
        <w:separator/>
      </w:r>
    </w:p>
  </w:footnote>
  <w:footnote w:type="continuationSeparator" w:id="0">
    <w:p w:rsidR="002D4A4C" w:rsidRDefault="002D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7BF" w:rsidRDefault="000467BF" w:rsidP="000467BF">
    <w:pPr>
      <w:pStyle w:val="a4"/>
      <w:jc w:val="center"/>
      <w:rPr>
        <w:color w:val="333333"/>
        <w:rtl/>
      </w:rPr>
    </w:pPr>
  </w:p>
  <w:p w:rsidR="000467BF" w:rsidRPr="006F3984" w:rsidRDefault="000467BF" w:rsidP="000467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313A4"/>
    <w:multiLevelType w:val="hybridMultilevel"/>
    <w:tmpl w:val="C76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B583D"/>
    <w:multiLevelType w:val="hybridMultilevel"/>
    <w:tmpl w:val="DFF8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46"/>
    <w:rsid w:val="00004967"/>
    <w:rsid w:val="00006160"/>
    <w:rsid w:val="00031BD6"/>
    <w:rsid w:val="00033619"/>
    <w:rsid w:val="0004531A"/>
    <w:rsid w:val="000467BF"/>
    <w:rsid w:val="0005050F"/>
    <w:rsid w:val="00052CDC"/>
    <w:rsid w:val="00054BDB"/>
    <w:rsid w:val="00063007"/>
    <w:rsid w:val="00063344"/>
    <w:rsid w:val="00073E8C"/>
    <w:rsid w:val="00086552"/>
    <w:rsid w:val="00086AC9"/>
    <w:rsid w:val="00092356"/>
    <w:rsid w:val="00097FF0"/>
    <w:rsid w:val="000B6B9F"/>
    <w:rsid w:val="000C57FC"/>
    <w:rsid w:val="000E5212"/>
    <w:rsid w:val="00101AB1"/>
    <w:rsid w:val="00121A56"/>
    <w:rsid w:val="00131F6C"/>
    <w:rsid w:val="0013273D"/>
    <w:rsid w:val="00136098"/>
    <w:rsid w:val="0015292E"/>
    <w:rsid w:val="0016027A"/>
    <w:rsid w:val="0016575C"/>
    <w:rsid w:val="00170A1E"/>
    <w:rsid w:val="00173F41"/>
    <w:rsid w:val="00175770"/>
    <w:rsid w:val="001806C7"/>
    <w:rsid w:val="00181673"/>
    <w:rsid w:val="00186A71"/>
    <w:rsid w:val="0019311C"/>
    <w:rsid w:val="0019786B"/>
    <w:rsid w:val="001B10C3"/>
    <w:rsid w:val="001B2EA1"/>
    <w:rsid w:val="001B5518"/>
    <w:rsid w:val="001D79BA"/>
    <w:rsid w:val="001E55CB"/>
    <w:rsid w:val="001F13AB"/>
    <w:rsid w:val="001F27D5"/>
    <w:rsid w:val="001F28E5"/>
    <w:rsid w:val="001F5618"/>
    <w:rsid w:val="0020435C"/>
    <w:rsid w:val="0021127E"/>
    <w:rsid w:val="002275F2"/>
    <w:rsid w:val="002416CE"/>
    <w:rsid w:val="00241FA2"/>
    <w:rsid w:val="00242469"/>
    <w:rsid w:val="0025093A"/>
    <w:rsid w:val="002533BC"/>
    <w:rsid w:val="0025440E"/>
    <w:rsid w:val="0027070D"/>
    <w:rsid w:val="00282E8D"/>
    <w:rsid w:val="00284148"/>
    <w:rsid w:val="00285A52"/>
    <w:rsid w:val="0029677E"/>
    <w:rsid w:val="002968E5"/>
    <w:rsid w:val="002A4D5E"/>
    <w:rsid w:val="002A5CEC"/>
    <w:rsid w:val="002C1758"/>
    <w:rsid w:val="002C46F9"/>
    <w:rsid w:val="002D30E5"/>
    <w:rsid w:val="002D4A4C"/>
    <w:rsid w:val="002E69EF"/>
    <w:rsid w:val="002F2D69"/>
    <w:rsid w:val="002F4D91"/>
    <w:rsid w:val="0030392F"/>
    <w:rsid w:val="003050C8"/>
    <w:rsid w:val="00310029"/>
    <w:rsid w:val="00312549"/>
    <w:rsid w:val="00313099"/>
    <w:rsid w:val="00320A86"/>
    <w:rsid w:val="0032241C"/>
    <w:rsid w:val="003235E2"/>
    <w:rsid w:val="00327D4B"/>
    <w:rsid w:val="00331985"/>
    <w:rsid w:val="0033298A"/>
    <w:rsid w:val="00342E30"/>
    <w:rsid w:val="00343F85"/>
    <w:rsid w:val="00343F8F"/>
    <w:rsid w:val="00345695"/>
    <w:rsid w:val="00346A3A"/>
    <w:rsid w:val="00347B0E"/>
    <w:rsid w:val="00347E08"/>
    <w:rsid w:val="00351616"/>
    <w:rsid w:val="00361198"/>
    <w:rsid w:val="0036160A"/>
    <w:rsid w:val="00361D46"/>
    <w:rsid w:val="00362837"/>
    <w:rsid w:val="00370941"/>
    <w:rsid w:val="00373948"/>
    <w:rsid w:val="00374854"/>
    <w:rsid w:val="00376F6E"/>
    <w:rsid w:val="003855F9"/>
    <w:rsid w:val="0039661B"/>
    <w:rsid w:val="003A0B58"/>
    <w:rsid w:val="003A0F38"/>
    <w:rsid w:val="003B3126"/>
    <w:rsid w:val="003B7581"/>
    <w:rsid w:val="003C1303"/>
    <w:rsid w:val="003C3797"/>
    <w:rsid w:val="003C38A4"/>
    <w:rsid w:val="003F0A70"/>
    <w:rsid w:val="003F22A1"/>
    <w:rsid w:val="003F6C00"/>
    <w:rsid w:val="003F7F8B"/>
    <w:rsid w:val="00401719"/>
    <w:rsid w:val="00401ED8"/>
    <w:rsid w:val="00404D08"/>
    <w:rsid w:val="00404FE8"/>
    <w:rsid w:val="00406727"/>
    <w:rsid w:val="004201B9"/>
    <w:rsid w:val="004202BB"/>
    <w:rsid w:val="00425596"/>
    <w:rsid w:val="0043462C"/>
    <w:rsid w:val="004350E4"/>
    <w:rsid w:val="004446AC"/>
    <w:rsid w:val="00445CA3"/>
    <w:rsid w:val="004460BF"/>
    <w:rsid w:val="004603B1"/>
    <w:rsid w:val="00471734"/>
    <w:rsid w:val="00472083"/>
    <w:rsid w:val="004A21C1"/>
    <w:rsid w:val="004A5454"/>
    <w:rsid w:val="004B2C7F"/>
    <w:rsid w:val="004B542C"/>
    <w:rsid w:val="004C1C67"/>
    <w:rsid w:val="004C7F4C"/>
    <w:rsid w:val="004E097B"/>
    <w:rsid w:val="004E0E7C"/>
    <w:rsid w:val="004F1DBA"/>
    <w:rsid w:val="00501667"/>
    <w:rsid w:val="0050459C"/>
    <w:rsid w:val="00506F82"/>
    <w:rsid w:val="00521276"/>
    <w:rsid w:val="00521332"/>
    <w:rsid w:val="00523F53"/>
    <w:rsid w:val="005247E9"/>
    <w:rsid w:val="00537D37"/>
    <w:rsid w:val="00540B4B"/>
    <w:rsid w:val="0054338D"/>
    <w:rsid w:val="00564CC5"/>
    <w:rsid w:val="00571BD2"/>
    <w:rsid w:val="00573842"/>
    <w:rsid w:val="0059454E"/>
    <w:rsid w:val="005A0872"/>
    <w:rsid w:val="005B1C3F"/>
    <w:rsid w:val="005B39A7"/>
    <w:rsid w:val="005B551B"/>
    <w:rsid w:val="005B7A93"/>
    <w:rsid w:val="005D6E92"/>
    <w:rsid w:val="0060608F"/>
    <w:rsid w:val="006076C8"/>
    <w:rsid w:val="00611825"/>
    <w:rsid w:val="00611F49"/>
    <w:rsid w:val="006333C7"/>
    <w:rsid w:val="00637A86"/>
    <w:rsid w:val="00647207"/>
    <w:rsid w:val="006618A8"/>
    <w:rsid w:val="00675351"/>
    <w:rsid w:val="0069576B"/>
    <w:rsid w:val="00696FD1"/>
    <w:rsid w:val="006B473A"/>
    <w:rsid w:val="006B6B8C"/>
    <w:rsid w:val="006C4B3C"/>
    <w:rsid w:val="006F2579"/>
    <w:rsid w:val="006F3AAE"/>
    <w:rsid w:val="00704659"/>
    <w:rsid w:val="00706253"/>
    <w:rsid w:val="00715856"/>
    <w:rsid w:val="00722162"/>
    <w:rsid w:val="00727BB8"/>
    <w:rsid w:val="0073298E"/>
    <w:rsid w:val="00743579"/>
    <w:rsid w:val="00760DF9"/>
    <w:rsid w:val="0076168B"/>
    <w:rsid w:val="00764EB2"/>
    <w:rsid w:val="0076798F"/>
    <w:rsid w:val="00791A49"/>
    <w:rsid w:val="00793CA0"/>
    <w:rsid w:val="0079504D"/>
    <w:rsid w:val="00795E20"/>
    <w:rsid w:val="007A7D62"/>
    <w:rsid w:val="007B7892"/>
    <w:rsid w:val="007B7B64"/>
    <w:rsid w:val="007C4208"/>
    <w:rsid w:val="007E008F"/>
    <w:rsid w:val="007E6A40"/>
    <w:rsid w:val="00801004"/>
    <w:rsid w:val="0080144F"/>
    <w:rsid w:val="00802DB8"/>
    <w:rsid w:val="00805361"/>
    <w:rsid w:val="00816A4C"/>
    <w:rsid w:val="0082028B"/>
    <w:rsid w:val="008278E9"/>
    <w:rsid w:val="00827902"/>
    <w:rsid w:val="00836230"/>
    <w:rsid w:val="00841C6B"/>
    <w:rsid w:val="00841D6A"/>
    <w:rsid w:val="008442D9"/>
    <w:rsid w:val="00847C1B"/>
    <w:rsid w:val="00862107"/>
    <w:rsid w:val="00864B72"/>
    <w:rsid w:val="00865684"/>
    <w:rsid w:val="008711D0"/>
    <w:rsid w:val="00884AA7"/>
    <w:rsid w:val="00887AC3"/>
    <w:rsid w:val="008A19EF"/>
    <w:rsid w:val="008A5387"/>
    <w:rsid w:val="008B172D"/>
    <w:rsid w:val="008D1CEC"/>
    <w:rsid w:val="008D4BE5"/>
    <w:rsid w:val="008D67F5"/>
    <w:rsid w:val="008E0E52"/>
    <w:rsid w:val="008E4603"/>
    <w:rsid w:val="008E7CC4"/>
    <w:rsid w:val="008F6AB4"/>
    <w:rsid w:val="00902D04"/>
    <w:rsid w:val="00921320"/>
    <w:rsid w:val="009252CE"/>
    <w:rsid w:val="00943822"/>
    <w:rsid w:val="00960633"/>
    <w:rsid w:val="00962AE1"/>
    <w:rsid w:val="009670CB"/>
    <w:rsid w:val="009952F7"/>
    <w:rsid w:val="009A1308"/>
    <w:rsid w:val="009A6395"/>
    <w:rsid w:val="009B6317"/>
    <w:rsid w:val="009D4081"/>
    <w:rsid w:val="009E343D"/>
    <w:rsid w:val="009F48A0"/>
    <w:rsid w:val="00A04E84"/>
    <w:rsid w:val="00A13786"/>
    <w:rsid w:val="00A343A9"/>
    <w:rsid w:val="00A4727F"/>
    <w:rsid w:val="00A53834"/>
    <w:rsid w:val="00A550E8"/>
    <w:rsid w:val="00A55B7A"/>
    <w:rsid w:val="00A701DF"/>
    <w:rsid w:val="00A836FA"/>
    <w:rsid w:val="00A8737F"/>
    <w:rsid w:val="00A931FF"/>
    <w:rsid w:val="00A95A44"/>
    <w:rsid w:val="00AA61BD"/>
    <w:rsid w:val="00AA6A53"/>
    <w:rsid w:val="00AB7E26"/>
    <w:rsid w:val="00AD3BEA"/>
    <w:rsid w:val="00AD729E"/>
    <w:rsid w:val="00AE4F93"/>
    <w:rsid w:val="00AE5205"/>
    <w:rsid w:val="00AF0DDA"/>
    <w:rsid w:val="00AF1E81"/>
    <w:rsid w:val="00AF6608"/>
    <w:rsid w:val="00B03630"/>
    <w:rsid w:val="00B258A2"/>
    <w:rsid w:val="00B54900"/>
    <w:rsid w:val="00B63EFE"/>
    <w:rsid w:val="00B716E8"/>
    <w:rsid w:val="00B85B39"/>
    <w:rsid w:val="00B92DCF"/>
    <w:rsid w:val="00B95344"/>
    <w:rsid w:val="00BA1D0C"/>
    <w:rsid w:val="00BA2C37"/>
    <w:rsid w:val="00BA6C9B"/>
    <w:rsid w:val="00BB027B"/>
    <w:rsid w:val="00BB35A0"/>
    <w:rsid w:val="00BC2C04"/>
    <w:rsid w:val="00BD1B4C"/>
    <w:rsid w:val="00BD3FEC"/>
    <w:rsid w:val="00BE6355"/>
    <w:rsid w:val="00C05B92"/>
    <w:rsid w:val="00C1612D"/>
    <w:rsid w:val="00C176C2"/>
    <w:rsid w:val="00C201F6"/>
    <w:rsid w:val="00C36212"/>
    <w:rsid w:val="00C4617E"/>
    <w:rsid w:val="00C636A6"/>
    <w:rsid w:val="00C65094"/>
    <w:rsid w:val="00C84B24"/>
    <w:rsid w:val="00C862BA"/>
    <w:rsid w:val="00C9047F"/>
    <w:rsid w:val="00CC3414"/>
    <w:rsid w:val="00CD2F17"/>
    <w:rsid w:val="00CD38EF"/>
    <w:rsid w:val="00CF343C"/>
    <w:rsid w:val="00D0273C"/>
    <w:rsid w:val="00D034E1"/>
    <w:rsid w:val="00D05BED"/>
    <w:rsid w:val="00D05EF4"/>
    <w:rsid w:val="00D343FE"/>
    <w:rsid w:val="00D46B6F"/>
    <w:rsid w:val="00D539E2"/>
    <w:rsid w:val="00D53E4D"/>
    <w:rsid w:val="00D54493"/>
    <w:rsid w:val="00D63A11"/>
    <w:rsid w:val="00D700A6"/>
    <w:rsid w:val="00D711AE"/>
    <w:rsid w:val="00D91C33"/>
    <w:rsid w:val="00D93DAF"/>
    <w:rsid w:val="00D942A9"/>
    <w:rsid w:val="00D97E12"/>
    <w:rsid w:val="00DB20F4"/>
    <w:rsid w:val="00DB5B3B"/>
    <w:rsid w:val="00DF14EE"/>
    <w:rsid w:val="00DF6718"/>
    <w:rsid w:val="00E02ED4"/>
    <w:rsid w:val="00E2511F"/>
    <w:rsid w:val="00E2704F"/>
    <w:rsid w:val="00E30577"/>
    <w:rsid w:val="00E31930"/>
    <w:rsid w:val="00E31C20"/>
    <w:rsid w:val="00E35B54"/>
    <w:rsid w:val="00E43E0C"/>
    <w:rsid w:val="00E47517"/>
    <w:rsid w:val="00E53375"/>
    <w:rsid w:val="00E8077A"/>
    <w:rsid w:val="00E845D6"/>
    <w:rsid w:val="00E855CE"/>
    <w:rsid w:val="00EA10A6"/>
    <w:rsid w:val="00ED0547"/>
    <w:rsid w:val="00ED1A5A"/>
    <w:rsid w:val="00EE181A"/>
    <w:rsid w:val="00EE5E21"/>
    <w:rsid w:val="00EE6596"/>
    <w:rsid w:val="00EE6B8C"/>
    <w:rsid w:val="00EF6DA4"/>
    <w:rsid w:val="00F06C3F"/>
    <w:rsid w:val="00F31C8B"/>
    <w:rsid w:val="00F459AE"/>
    <w:rsid w:val="00F45DE4"/>
    <w:rsid w:val="00F52BE3"/>
    <w:rsid w:val="00F53960"/>
    <w:rsid w:val="00F620C6"/>
    <w:rsid w:val="00F62535"/>
    <w:rsid w:val="00F62E93"/>
    <w:rsid w:val="00F6320D"/>
    <w:rsid w:val="00F77546"/>
    <w:rsid w:val="00F82470"/>
    <w:rsid w:val="00F86F91"/>
    <w:rsid w:val="00FA1A17"/>
    <w:rsid w:val="00FA1A41"/>
    <w:rsid w:val="00FB155E"/>
    <w:rsid w:val="00FC7186"/>
    <w:rsid w:val="00FD0F46"/>
    <w:rsid w:val="00FE1A9A"/>
    <w:rsid w:val="00FE1C81"/>
    <w:rsid w:val="00FF15A7"/>
    <w:rsid w:val="00FF2E0A"/>
    <w:rsid w:val="00FF5DCC"/>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65E76"/>
  <w15:chartTrackingRefBased/>
  <w15:docId w15:val="{649A3608-8C2D-EE4F-AFFE-858550FD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6F6E"/>
    <w:pPr>
      <w:bidi/>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F6E"/>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76F6E"/>
    <w:pPr>
      <w:tabs>
        <w:tab w:val="center" w:pos="4153"/>
        <w:tab w:val="right" w:pos="8306"/>
      </w:tabs>
    </w:pPr>
  </w:style>
  <w:style w:type="paragraph" w:styleId="a5">
    <w:name w:val="footer"/>
    <w:basedOn w:val="a"/>
    <w:rsid w:val="00376F6E"/>
    <w:pPr>
      <w:tabs>
        <w:tab w:val="center" w:pos="4153"/>
        <w:tab w:val="right" w:pos="8306"/>
      </w:tabs>
    </w:pPr>
  </w:style>
  <w:style w:type="character" w:styleId="a6">
    <w:name w:val="page number"/>
    <w:rsid w:val="00376F6E"/>
    <w:rPr>
      <w:rFonts w:cs="Times New Roman"/>
    </w:rPr>
  </w:style>
  <w:style w:type="character" w:styleId="Hyperlink">
    <w:name w:val="Hyperlink"/>
    <w:uiPriority w:val="99"/>
    <w:rsid w:val="004E0E7C"/>
    <w:rPr>
      <w:rFonts w:cs="Times New Roman"/>
      <w:color w:val="0000FF"/>
      <w:u w:val="single"/>
    </w:rPr>
  </w:style>
  <w:style w:type="paragraph" w:styleId="a7">
    <w:name w:val="endnote text"/>
    <w:basedOn w:val="a"/>
    <w:link w:val="a8"/>
    <w:rsid w:val="004E0E7C"/>
    <w:rPr>
      <w:sz w:val="20"/>
      <w:szCs w:val="20"/>
    </w:rPr>
  </w:style>
  <w:style w:type="character" w:customStyle="1" w:styleId="a8">
    <w:name w:val="טקסט הערת סיום תו"/>
    <w:basedOn w:val="a0"/>
    <w:link w:val="a7"/>
    <w:rsid w:val="004E0E7C"/>
  </w:style>
  <w:style w:type="character" w:styleId="a9">
    <w:name w:val="endnote reference"/>
    <w:rsid w:val="004E0E7C"/>
    <w:rPr>
      <w:vertAlign w:val="superscript"/>
    </w:rPr>
  </w:style>
  <w:style w:type="paragraph" w:styleId="NormalWeb">
    <w:name w:val="Normal (Web)"/>
    <w:basedOn w:val="a"/>
    <w:uiPriority w:val="99"/>
    <w:unhideWhenUsed/>
    <w:rsid w:val="00EE6B8C"/>
    <w:pPr>
      <w:bidi w:val="0"/>
      <w:spacing w:before="100" w:beforeAutospacing="1" w:after="100" w:afterAutospacing="1"/>
    </w:pPr>
  </w:style>
  <w:style w:type="character" w:styleId="aa">
    <w:name w:val="Subtle Reference"/>
    <w:aliases w:val="ביבליוגרפיה אנגלית"/>
    <w:uiPriority w:val="31"/>
    <w:qFormat/>
    <w:rsid w:val="00EE6B8C"/>
    <w:rPr>
      <w:rFonts w:ascii="David" w:hAnsi="David" w:cs="Dav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millenniumproject.org/documents/tf3edinterimexecsu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gei.org/files/FAWE_GRP_ENGLISH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BDFC-BF3D-4C9D-B009-EAF35D80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7536</Characters>
  <Application>Microsoft Office Word</Application>
  <DocSecurity>0</DocSecurity>
  <Lines>62</Lines>
  <Paragraphs>17</Paragraphs>
  <ScaleCrop>false</ScaleCrop>
  <HeadingPairs>
    <vt:vector size="4" baseType="variant">
      <vt:variant>
        <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8700</CharactersWithSpaces>
  <SharedDoc>false</SharedDoc>
  <HLinks>
    <vt:vector size="12" baseType="variant">
      <vt:variant>
        <vt:i4>6226024</vt:i4>
      </vt:variant>
      <vt:variant>
        <vt:i4>3</vt:i4>
      </vt:variant>
      <vt:variant>
        <vt:i4>0</vt:i4>
      </vt:variant>
      <vt:variant>
        <vt:i4>5</vt:i4>
      </vt:variant>
      <vt:variant>
        <vt:lpwstr>http://www.ungei.org/files/FAWE_GRP_ENGLISH_VERSION.pdf</vt:lpwstr>
      </vt:variant>
      <vt:variant>
        <vt:lpwstr/>
      </vt:variant>
      <vt:variant>
        <vt:i4>1638488</vt:i4>
      </vt:variant>
      <vt:variant>
        <vt:i4>0</vt:i4>
      </vt:variant>
      <vt:variant>
        <vt:i4>0</vt:i4>
      </vt:variant>
      <vt:variant>
        <vt:i4>5</vt:i4>
      </vt:variant>
      <vt:variant>
        <vt:lpwstr>http://www.unmillenniumproject.org/documents/tf3edinterimexecsum.pdf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dc:creator>
  <cp:keywords/>
  <dc:description/>
  <cp:lastModifiedBy>אורית קנדל</cp:lastModifiedBy>
  <cp:revision>2</cp:revision>
  <dcterms:created xsi:type="dcterms:W3CDTF">2020-10-05T13:00:00Z</dcterms:created>
  <dcterms:modified xsi:type="dcterms:W3CDTF">2020-10-05T13:00:00Z</dcterms:modified>
</cp:coreProperties>
</file>