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7125" w14:textId="77777777" w:rsidR="004D4B9E" w:rsidRDefault="004D4B9E" w:rsidP="004D4B9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right"/>
        <w:rPr>
          <w:rFonts w:ascii="Tahoma" w:eastAsia="Times New Roman" w:hAnsi="Tahoma" w:cs="Tahoma"/>
          <w:b/>
          <w:noProof/>
          <w:color w:val="548DD4" w:themeColor="text2" w:themeTint="99"/>
          <w:sz w:val="24"/>
          <w:szCs w:val="24"/>
          <w:rtl/>
          <w:lang w:val="en-US"/>
        </w:rPr>
      </w:pPr>
      <w:bookmarkStart w:id="0" w:name="_GoBack"/>
      <w:bookmarkEnd w:id="0"/>
    </w:p>
    <w:p w14:paraId="6B42DE55" w14:textId="63C3B85B" w:rsidR="00577B0E" w:rsidRPr="007A4774" w:rsidRDefault="004D4B9E" w:rsidP="004D4B9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right"/>
        <w:rPr>
          <w:rFonts w:ascii="Tahoma" w:eastAsia="Times New Roman" w:hAnsi="Tahoma" w:cs="Tahoma"/>
          <w:b/>
          <w:bCs/>
          <w:color w:val="548DD4" w:themeColor="text2" w:themeTint="99"/>
          <w:sz w:val="24"/>
          <w:szCs w:val="24"/>
          <w:u w:val="single"/>
          <w:rtl/>
          <w:lang w:bidi="he"/>
        </w:rPr>
      </w:pPr>
      <w:r w:rsidRPr="004D4B9E">
        <w:rPr>
          <w:rFonts w:ascii="Tahoma" w:eastAsia="Times New Roman" w:hAnsi="Tahoma" w:cs="Tahoma"/>
          <w:b/>
          <w:bCs/>
          <w:color w:val="548DD4" w:themeColor="text2" w:themeTint="99"/>
          <w:sz w:val="24"/>
          <w:szCs w:val="24"/>
          <w:rtl/>
          <w:lang w:bidi="he"/>
        </w:rPr>
        <w:t xml:space="preserve">תאריך עדכון: </w:t>
      </w:r>
      <w:r w:rsidRPr="007A4774">
        <w:rPr>
          <w:rFonts w:ascii="Tahoma" w:eastAsia="Times New Roman" w:hAnsi="Tahoma" w:cs="Tahoma"/>
          <w:b/>
          <w:bCs/>
          <w:color w:val="548DD4" w:themeColor="text2" w:themeTint="99"/>
          <w:sz w:val="24"/>
          <w:szCs w:val="24"/>
          <w:u w:val="single"/>
          <w:rtl/>
          <w:lang w:bidi="he"/>
        </w:rPr>
        <w:t>אפריל 2020</w:t>
      </w:r>
    </w:p>
    <w:p w14:paraId="2DDB6362" w14:textId="77777777" w:rsidR="004D4B9E" w:rsidRDefault="004D4B9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Cousine" w:hAnsi="Tahoma" w:cs="Tahoma"/>
          <w:b/>
          <w:color w:val="500050"/>
          <w:rtl/>
          <w:lang w:bidi="he"/>
        </w:rPr>
      </w:pPr>
    </w:p>
    <w:p w14:paraId="54807DF8" w14:textId="77777777" w:rsidR="004D4B9E" w:rsidRDefault="004D4B9E" w:rsidP="004D4B9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Cousine" w:hAnsi="Tahoma" w:cs="Tahoma"/>
          <w:bCs/>
          <w:color w:val="548DD4" w:themeColor="text2" w:themeTint="99"/>
          <w:sz w:val="32"/>
          <w:szCs w:val="32"/>
          <w:rtl/>
          <w:lang w:bidi="he"/>
        </w:rPr>
      </w:pPr>
    </w:p>
    <w:p w14:paraId="4CADBC2D" w14:textId="77777777" w:rsidR="00B9302B" w:rsidRPr="004D4B9E" w:rsidRDefault="00B9302B" w:rsidP="00B9302B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Cousine" w:hAnsi="Tahoma" w:cs="Tahoma"/>
          <w:bCs/>
          <w:color w:val="548DD4" w:themeColor="text2" w:themeTint="99"/>
          <w:sz w:val="32"/>
          <w:szCs w:val="32"/>
          <w:rtl/>
          <w:lang w:bidi="he"/>
        </w:rPr>
      </w:pPr>
    </w:p>
    <w:p w14:paraId="6B42DE56" w14:textId="39E3395E" w:rsidR="00577B0E" w:rsidRPr="004D4B9E" w:rsidRDefault="002F5634" w:rsidP="004D4B9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Courier New" w:hAnsi="Tahoma" w:cs="Tahoma"/>
          <w:bCs/>
          <w:color w:val="548DD4" w:themeColor="text2" w:themeTint="99"/>
          <w:sz w:val="32"/>
          <w:szCs w:val="32"/>
          <w:rtl/>
          <w:lang w:bidi="he"/>
        </w:rPr>
      </w:pPr>
      <w:r w:rsidRPr="004D4B9E">
        <w:rPr>
          <w:rFonts w:ascii="Tahoma" w:eastAsia="Cousine" w:hAnsi="Tahoma" w:cs="Tahoma"/>
          <w:bCs/>
          <w:color w:val="548DD4" w:themeColor="text2" w:themeTint="99"/>
          <w:sz w:val="32"/>
          <w:szCs w:val="32"/>
          <w:rtl/>
          <w:lang w:bidi="he"/>
        </w:rPr>
        <w:t>לעבר</w:t>
      </w:r>
      <w:r w:rsidRPr="004D4B9E">
        <w:rPr>
          <w:rFonts w:ascii="Tahoma" w:eastAsia="Courier New" w:hAnsi="Tahoma" w:cs="Tahoma"/>
          <w:bCs/>
          <w:color w:val="548DD4" w:themeColor="text2" w:themeTint="99"/>
          <w:sz w:val="32"/>
          <w:szCs w:val="32"/>
          <w:rtl/>
        </w:rPr>
        <w:t xml:space="preserve"> </w:t>
      </w:r>
      <w:r w:rsidRPr="004D4B9E">
        <w:rPr>
          <w:rFonts w:ascii="Tahoma" w:eastAsia="Cousine" w:hAnsi="Tahoma" w:cs="Tahoma"/>
          <w:bCs/>
          <w:color w:val="548DD4" w:themeColor="text2" w:themeTint="99"/>
          <w:sz w:val="32"/>
          <w:szCs w:val="32"/>
          <w:rtl/>
          <w:lang w:bidi="he"/>
        </w:rPr>
        <w:t>עולם</w:t>
      </w:r>
      <w:r w:rsidRPr="004D4B9E">
        <w:rPr>
          <w:rFonts w:ascii="Tahoma" w:eastAsia="Courier New" w:hAnsi="Tahoma" w:cs="Tahoma"/>
          <w:bCs/>
          <w:color w:val="548DD4" w:themeColor="text2" w:themeTint="99"/>
          <w:sz w:val="32"/>
          <w:szCs w:val="32"/>
          <w:rtl/>
        </w:rPr>
        <w:t xml:space="preserve"> </w:t>
      </w:r>
      <w:r w:rsidRPr="004D4B9E">
        <w:rPr>
          <w:rFonts w:ascii="Tahoma" w:eastAsia="Cousine" w:hAnsi="Tahoma" w:cs="Tahoma"/>
          <w:bCs/>
          <w:color w:val="548DD4" w:themeColor="text2" w:themeTint="99"/>
          <w:sz w:val="32"/>
          <w:szCs w:val="32"/>
          <w:rtl/>
          <w:lang w:bidi="he"/>
        </w:rPr>
        <w:t>אחר</w:t>
      </w:r>
      <w:r w:rsidRPr="004D4B9E">
        <w:rPr>
          <w:rFonts w:ascii="Tahoma" w:eastAsia="Courier New" w:hAnsi="Tahoma" w:cs="Tahoma"/>
          <w:bCs/>
          <w:color w:val="548DD4" w:themeColor="text2" w:themeTint="99"/>
          <w:sz w:val="32"/>
          <w:szCs w:val="32"/>
          <w:rtl/>
        </w:rPr>
        <w:t xml:space="preserve">- </w:t>
      </w:r>
      <w:r w:rsidRPr="004D4B9E">
        <w:rPr>
          <w:rFonts w:ascii="Tahoma" w:eastAsia="Cousine" w:hAnsi="Tahoma" w:cs="Tahoma"/>
          <w:bCs/>
          <w:color w:val="548DD4" w:themeColor="text2" w:themeTint="99"/>
          <w:sz w:val="32"/>
          <w:szCs w:val="32"/>
          <w:rtl/>
          <w:lang w:bidi="he"/>
        </w:rPr>
        <w:t>פמיניזם</w:t>
      </w:r>
      <w:r w:rsidRPr="004D4B9E">
        <w:rPr>
          <w:rFonts w:ascii="Tahoma" w:eastAsia="Courier New" w:hAnsi="Tahoma" w:cs="Tahoma"/>
          <w:bCs/>
          <w:color w:val="548DD4" w:themeColor="text2" w:themeTint="99"/>
          <w:sz w:val="32"/>
          <w:szCs w:val="32"/>
          <w:rtl/>
        </w:rPr>
        <w:t xml:space="preserve">, </w:t>
      </w:r>
      <w:r w:rsidRPr="004D4B9E">
        <w:rPr>
          <w:rFonts w:ascii="Tahoma" w:eastAsia="Cousine" w:hAnsi="Tahoma" w:cs="Tahoma"/>
          <w:bCs/>
          <w:color w:val="548DD4" w:themeColor="text2" w:themeTint="99"/>
          <w:sz w:val="32"/>
          <w:szCs w:val="32"/>
          <w:rtl/>
          <w:lang w:bidi="he"/>
        </w:rPr>
        <w:t>מוסר</w:t>
      </w:r>
      <w:r w:rsidRPr="004D4B9E">
        <w:rPr>
          <w:rFonts w:ascii="Tahoma" w:eastAsia="Courier New" w:hAnsi="Tahoma" w:cs="Tahoma"/>
          <w:bCs/>
          <w:color w:val="548DD4" w:themeColor="text2" w:themeTint="99"/>
          <w:sz w:val="32"/>
          <w:szCs w:val="32"/>
          <w:rtl/>
        </w:rPr>
        <w:t xml:space="preserve"> </w:t>
      </w:r>
      <w:r w:rsidRPr="004D4B9E">
        <w:rPr>
          <w:rFonts w:ascii="Tahoma" w:eastAsia="Cousine" w:hAnsi="Tahoma" w:cs="Tahoma"/>
          <w:bCs/>
          <w:color w:val="548DD4" w:themeColor="text2" w:themeTint="99"/>
          <w:sz w:val="32"/>
          <w:szCs w:val="32"/>
          <w:rtl/>
          <w:lang w:bidi="he"/>
        </w:rPr>
        <w:t>וחזון</w:t>
      </w:r>
      <w:r w:rsidRPr="004D4B9E">
        <w:rPr>
          <w:rFonts w:ascii="Tahoma" w:eastAsia="Courier New" w:hAnsi="Tahoma" w:cs="Tahoma"/>
          <w:bCs/>
          <w:color w:val="548DD4" w:themeColor="text2" w:themeTint="99"/>
          <w:sz w:val="32"/>
          <w:szCs w:val="32"/>
          <w:rtl/>
        </w:rPr>
        <w:t xml:space="preserve"> </w:t>
      </w:r>
      <w:r w:rsidRPr="004D4B9E">
        <w:rPr>
          <w:rFonts w:ascii="Tahoma" w:eastAsia="Cousine" w:hAnsi="Tahoma" w:cs="Tahoma"/>
          <w:bCs/>
          <w:color w:val="548DD4" w:themeColor="text2" w:themeTint="99"/>
          <w:sz w:val="32"/>
          <w:szCs w:val="32"/>
          <w:rtl/>
          <w:lang w:bidi="he"/>
        </w:rPr>
        <w:t>חברתי</w:t>
      </w:r>
      <w:r w:rsidRPr="004D4B9E">
        <w:rPr>
          <w:rFonts w:ascii="Tahoma" w:eastAsia="Courier New" w:hAnsi="Tahoma" w:cs="Tahoma"/>
          <w:bCs/>
          <w:color w:val="548DD4" w:themeColor="text2" w:themeTint="99"/>
          <w:sz w:val="32"/>
          <w:szCs w:val="32"/>
          <w:rtl/>
        </w:rPr>
        <w:t>.</w:t>
      </w:r>
    </w:p>
    <w:p w14:paraId="606D64FD" w14:textId="2251F576" w:rsidR="004D4B9E" w:rsidRPr="004D4B9E" w:rsidRDefault="004D4B9E" w:rsidP="004D4B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val="en-US" w:bidi="he"/>
        </w:rPr>
      </w:pPr>
      <w:r w:rsidRPr="004D4B9E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lang w:val="en-US" w:bidi="he"/>
        </w:rPr>
        <w:t>Towards a different world - feminist, ethics and social vision</w:t>
      </w:r>
    </w:p>
    <w:p w14:paraId="1D54AF1E" w14:textId="3D426584" w:rsidR="004D4B9E" w:rsidRPr="004D4B9E" w:rsidRDefault="004D4B9E" w:rsidP="004D4B9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</w:pPr>
      <w:r w:rsidRPr="004D4B9E">
        <w:rPr>
          <w:rFonts w:ascii="Tahoma" w:eastAsia="Times New Roman" w:hAnsi="Tahoma" w:cs="Tahoma" w:hint="cs"/>
          <w:bCs/>
          <w:color w:val="548DD4" w:themeColor="text2" w:themeTint="99"/>
          <w:sz w:val="32"/>
          <w:szCs w:val="32"/>
          <w:rtl/>
          <w:lang w:bidi="he"/>
        </w:rPr>
        <w:t xml:space="preserve">מספר קורס: </w:t>
      </w:r>
      <w:r w:rsidRPr="004D4B9E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>27</w:t>
      </w:r>
      <w:r w:rsidRPr="004D4B9E">
        <w:rPr>
          <w:rFonts w:ascii="Tahoma" w:eastAsia="Times New Roman" w:hAnsi="Tahoma" w:cs="Tahoma" w:hint="cs"/>
          <w:bCs/>
          <w:color w:val="548DD4" w:themeColor="text2" w:themeTint="99"/>
          <w:sz w:val="32"/>
          <w:szCs w:val="32"/>
          <w:rtl/>
          <w:lang w:bidi="he"/>
        </w:rPr>
        <w:t>-</w:t>
      </w:r>
      <w:r w:rsidRPr="004D4B9E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>9810-01</w:t>
      </w:r>
    </w:p>
    <w:p w14:paraId="6B42DE58" w14:textId="77777777" w:rsidR="00577B0E" w:rsidRDefault="002F563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</w:pPr>
      <w:r w:rsidRPr="004D4B9E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>שם המרצה</w:t>
      </w:r>
      <w:r w:rsidRPr="004D4B9E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</w:rPr>
        <w:t xml:space="preserve">: </w:t>
      </w:r>
      <w:r w:rsidRPr="004D4B9E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>ד</w:t>
      </w:r>
      <w:r w:rsidRPr="004D4B9E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</w:rPr>
        <w:t>"</w:t>
      </w:r>
      <w:r w:rsidRPr="004D4B9E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>ר מירי רוזמרין</w:t>
      </w:r>
    </w:p>
    <w:p w14:paraId="5FB5A5A3" w14:textId="77777777" w:rsidR="007A4774" w:rsidRDefault="007A477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Theme="minorBidi" w:eastAsia="Times New Roman" w:hAnsiTheme="minorBidi" w:cstheme="minorBidi"/>
          <w:bCs/>
          <w:color w:val="548DD4" w:themeColor="text2" w:themeTint="99"/>
          <w:sz w:val="28"/>
          <w:szCs w:val="28"/>
          <w:rtl/>
          <w:lang w:bidi="he"/>
        </w:rPr>
      </w:pPr>
    </w:p>
    <w:p w14:paraId="6B42DE59" w14:textId="77777777" w:rsidR="00577B0E" w:rsidRPr="004D4B9E" w:rsidRDefault="002F5634" w:rsidP="007A477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Theme="minorBidi" w:eastAsia="Times New Roman" w:hAnsiTheme="minorBidi" w:cstheme="minorBidi"/>
          <w:bCs/>
          <w:color w:val="548DD4" w:themeColor="text2" w:themeTint="99"/>
          <w:sz w:val="28"/>
          <w:szCs w:val="28"/>
          <w:rtl/>
          <w:lang w:bidi="he"/>
        </w:rPr>
      </w:pPr>
      <w:r w:rsidRPr="004D4B9E">
        <w:rPr>
          <w:rFonts w:asciiTheme="minorBidi" w:eastAsia="Times New Roman" w:hAnsiTheme="minorBidi" w:cstheme="minorBidi"/>
          <w:bCs/>
          <w:color w:val="548DD4" w:themeColor="text2" w:themeTint="99"/>
          <w:sz w:val="28"/>
          <w:szCs w:val="28"/>
          <w:rtl/>
          <w:lang w:bidi="he"/>
        </w:rPr>
        <w:t>סוג הקורס</w:t>
      </w:r>
      <w:r w:rsidRPr="004D4B9E">
        <w:rPr>
          <w:rFonts w:asciiTheme="minorBidi" w:eastAsia="Times New Roman" w:hAnsiTheme="minorBidi" w:cstheme="minorBidi"/>
          <w:bCs/>
          <w:color w:val="548DD4" w:themeColor="text2" w:themeTint="99"/>
          <w:sz w:val="28"/>
          <w:szCs w:val="28"/>
          <w:rtl/>
        </w:rPr>
        <w:t>:</w:t>
      </w:r>
      <w:r w:rsidRPr="004D4B9E">
        <w:rPr>
          <w:rFonts w:asciiTheme="minorBidi" w:eastAsia="Times New Roman" w:hAnsiTheme="minorBidi" w:cstheme="minorBidi"/>
          <w:bCs/>
          <w:color w:val="548DD4" w:themeColor="text2" w:themeTint="99"/>
          <w:sz w:val="28"/>
          <w:szCs w:val="28"/>
          <w:rtl/>
          <w:lang w:bidi="he"/>
        </w:rPr>
        <w:t xml:space="preserve"> </w:t>
      </w:r>
      <w:r w:rsidRPr="00B9302B">
        <w:rPr>
          <w:rFonts w:asciiTheme="minorBidi" w:eastAsia="Times New Roman" w:hAnsiTheme="minorBidi" w:cstheme="minorBidi"/>
          <w:b/>
          <w:color w:val="548DD4" w:themeColor="text2" w:themeTint="99"/>
          <w:sz w:val="28"/>
          <w:szCs w:val="28"/>
          <w:rtl/>
          <w:lang w:bidi="he"/>
        </w:rPr>
        <w:t>שיעור</w:t>
      </w:r>
    </w:p>
    <w:p w14:paraId="6B42DE5A" w14:textId="59DFFC97" w:rsidR="00577B0E" w:rsidRPr="00B9302B" w:rsidRDefault="002F5634" w:rsidP="004D4B9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Times New Roman" w:hAnsiTheme="minorBidi" w:cstheme="minorBidi"/>
          <w:b/>
          <w:color w:val="548DD4" w:themeColor="text2" w:themeTint="99"/>
          <w:sz w:val="28"/>
          <w:szCs w:val="28"/>
          <w:rtl/>
          <w:lang w:val="en-US"/>
        </w:rPr>
      </w:pPr>
      <w:r w:rsidRPr="004D4B9E">
        <w:rPr>
          <w:rFonts w:asciiTheme="minorBidi" w:eastAsia="Times New Roman" w:hAnsiTheme="minorBidi" w:cstheme="minorBidi"/>
          <w:bCs/>
          <w:color w:val="548DD4" w:themeColor="text2" w:themeTint="99"/>
          <w:sz w:val="28"/>
          <w:szCs w:val="28"/>
          <w:rtl/>
          <w:lang w:bidi="he"/>
        </w:rPr>
        <w:t>שנת לימודים</w:t>
      </w:r>
      <w:r w:rsidRPr="004D4B9E">
        <w:rPr>
          <w:rFonts w:asciiTheme="minorBidi" w:eastAsia="Times New Roman" w:hAnsiTheme="minorBidi" w:cstheme="minorBidi"/>
          <w:bCs/>
          <w:color w:val="548DD4" w:themeColor="text2" w:themeTint="99"/>
          <w:sz w:val="28"/>
          <w:szCs w:val="28"/>
          <w:rtl/>
        </w:rPr>
        <w:t xml:space="preserve">: </w:t>
      </w:r>
      <w:proofErr w:type="spellStart"/>
      <w:r w:rsidRPr="00B9302B">
        <w:rPr>
          <w:rFonts w:asciiTheme="minorBidi" w:eastAsia="Times New Roman" w:hAnsiTheme="minorBidi" w:cstheme="minorBidi"/>
          <w:b/>
          <w:color w:val="548DD4" w:themeColor="text2" w:themeTint="99"/>
          <w:sz w:val="28"/>
          <w:szCs w:val="28"/>
          <w:rtl/>
          <w:lang w:bidi="he"/>
        </w:rPr>
        <w:t>תשפ</w:t>
      </w:r>
      <w:proofErr w:type="spellEnd"/>
      <w:r w:rsidRPr="00B9302B">
        <w:rPr>
          <w:rFonts w:asciiTheme="minorBidi" w:eastAsia="Times New Roman" w:hAnsiTheme="minorBidi" w:cstheme="minorBidi"/>
          <w:b/>
          <w:color w:val="548DD4" w:themeColor="text2" w:themeTint="99"/>
          <w:sz w:val="28"/>
          <w:szCs w:val="28"/>
          <w:rtl/>
        </w:rPr>
        <w:t>"</w:t>
      </w:r>
      <w:r w:rsidRPr="00B9302B">
        <w:rPr>
          <w:rFonts w:asciiTheme="minorBidi" w:eastAsia="Times New Roman" w:hAnsiTheme="minorBidi" w:cstheme="minorBidi"/>
          <w:b/>
          <w:color w:val="548DD4" w:themeColor="text2" w:themeTint="99"/>
          <w:sz w:val="28"/>
          <w:szCs w:val="28"/>
          <w:rtl/>
          <w:lang w:bidi="he"/>
        </w:rPr>
        <w:t>א</w:t>
      </w:r>
      <w:r w:rsidRPr="004D4B9E">
        <w:rPr>
          <w:rFonts w:asciiTheme="minorBidi" w:eastAsia="Times New Roman" w:hAnsiTheme="minorBidi" w:cstheme="minorBidi"/>
          <w:bCs/>
          <w:color w:val="548DD4" w:themeColor="text2" w:themeTint="99"/>
          <w:sz w:val="28"/>
          <w:szCs w:val="28"/>
          <w:rtl/>
          <w:lang w:bidi="he"/>
        </w:rPr>
        <w:t xml:space="preserve">                </w:t>
      </w:r>
      <w:r w:rsidR="00B9302B">
        <w:rPr>
          <w:rFonts w:asciiTheme="minorBidi" w:eastAsia="Times New Roman" w:hAnsiTheme="minorBidi" w:cstheme="minorBidi" w:hint="cs"/>
          <w:bCs/>
          <w:color w:val="548DD4" w:themeColor="text2" w:themeTint="99"/>
          <w:sz w:val="28"/>
          <w:szCs w:val="28"/>
          <w:rtl/>
          <w:lang w:bidi="he"/>
        </w:rPr>
        <w:t xml:space="preserve">  </w:t>
      </w:r>
      <w:r w:rsidRPr="004D4B9E">
        <w:rPr>
          <w:rFonts w:asciiTheme="minorBidi" w:eastAsia="Times New Roman" w:hAnsiTheme="minorBidi" w:cstheme="minorBidi"/>
          <w:bCs/>
          <w:color w:val="548DD4" w:themeColor="text2" w:themeTint="99"/>
          <w:sz w:val="28"/>
          <w:szCs w:val="28"/>
          <w:rtl/>
          <w:lang w:bidi="he"/>
        </w:rPr>
        <w:t xml:space="preserve">   סמסטר:  </w:t>
      </w:r>
      <w:r w:rsidRPr="004D4B9E">
        <w:rPr>
          <w:rFonts w:asciiTheme="minorBidi" w:eastAsia="Times New Roman" w:hAnsiTheme="minorBidi" w:cstheme="minorBidi"/>
          <w:bCs/>
          <w:color w:val="548DD4" w:themeColor="text2" w:themeTint="99"/>
          <w:sz w:val="28"/>
          <w:szCs w:val="28"/>
          <w:rtl/>
          <w:lang w:bidi="he"/>
        </w:rPr>
        <w:tab/>
      </w:r>
      <w:r w:rsidR="00B9302B">
        <w:rPr>
          <w:rFonts w:asciiTheme="minorBidi" w:eastAsia="Times New Roman" w:hAnsiTheme="minorBidi" w:cstheme="minorBidi"/>
          <w:bCs/>
          <w:color w:val="548DD4" w:themeColor="text2" w:themeTint="99"/>
          <w:sz w:val="28"/>
          <w:szCs w:val="28"/>
          <w:rtl/>
          <w:lang w:bidi="he"/>
        </w:rPr>
        <w:t xml:space="preserve">                </w:t>
      </w:r>
      <w:r w:rsidRPr="004D4B9E">
        <w:rPr>
          <w:rFonts w:asciiTheme="minorBidi" w:eastAsia="Times New Roman" w:hAnsiTheme="minorBidi" w:cstheme="minorBidi"/>
          <w:bCs/>
          <w:color w:val="548DD4" w:themeColor="text2" w:themeTint="99"/>
          <w:sz w:val="28"/>
          <w:szCs w:val="28"/>
          <w:rtl/>
          <w:lang w:bidi="he"/>
        </w:rPr>
        <w:t xml:space="preserve">  היקף שעות</w:t>
      </w:r>
      <w:r w:rsidRPr="004D4B9E">
        <w:rPr>
          <w:rFonts w:asciiTheme="minorBidi" w:eastAsia="Times New Roman" w:hAnsiTheme="minorBidi" w:cstheme="minorBidi"/>
          <w:bCs/>
          <w:color w:val="548DD4" w:themeColor="text2" w:themeTint="99"/>
          <w:sz w:val="28"/>
          <w:szCs w:val="28"/>
          <w:rtl/>
        </w:rPr>
        <w:t xml:space="preserve">:  </w:t>
      </w:r>
      <w:r w:rsidR="004D4B9E" w:rsidRPr="00B9302B">
        <w:rPr>
          <w:rFonts w:asciiTheme="minorBidi" w:eastAsia="Times New Roman" w:hAnsiTheme="minorBidi" w:cstheme="minorBidi" w:hint="cs"/>
          <w:b/>
          <w:color w:val="548DD4" w:themeColor="text2" w:themeTint="99"/>
          <w:sz w:val="28"/>
          <w:szCs w:val="28"/>
          <w:rtl/>
        </w:rPr>
        <w:t xml:space="preserve">1 </w:t>
      </w:r>
      <w:r w:rsidR="004D4B9E" w:rsidRPr="00B9302B">
        <w:rPr>
          <w:rFonts w:asciiTheme="minorBidi" w:eastAsia="Times New Roman" w:hAnsiTheme="minorBidi" w:cstheme="minorBidi" w:hint="cs"/>
          <w:b/>
          <w:color w:val="548DD4" w:themeColor="text2" w:themeTint="99"/>
          <w:sz w:val="28"/>
          <w:szCs w:val="28"/>
          <w:rtl/>
          <w:lang w:bidi="he"/>
        </w:rPr>
        <w:t>ש</w:t>
      </w:r>
      <w:r w:rsidR="004D4B9E" w:rsidRPr="00B9302B">
        <w:rPr>
          <w:rFonts w:asciiTheme="minorBidi" w:eastAsia="Times New Roman" w:hAnsiTheme="minorBidi" w:cstheme="minorBidi" w:hint="cs"/>
          <w:b/>
          <w:color w:val="548DD4" w:themeColor="text2" w:themeTint="99"/>
          <w:sz w:val="28"/>
          <w:szCs w:val="28"/>
          <w:rtl/>
        </w:rPr>
        <w:t>"</w:t>
      </w:r>
      <w:r w:rsidR="004D4B9E" w:rsidRPr="00B9302B">
        <w:rPr>
          <w:rFonts w:asciiTheme="minorBidi" w:eastAsia="Times New Roman" w:hAnsiTheme="minorBidi" w:cstheme="minorBidi" w:hint="cs"/>
          <w:b/>
          <w:color w:val="548DD4" w:themeColor="text2" w:themeTint="99"/>
          <w:sz w:val="28"/>
          <w:szCs w:val="28"/>
          <w:rtl/>
          <w:lang w:val="en-US"/>
        </w:rPr>
        <w:t>ש</w:t>
      </w:r>
    </w:p>
    <w:p w14:paraId="6B42DE5B" w14:textId="618220DE" w:rsidR="00577B0E" w:rsidRPr="004D4B9E" w:rsidRDefault="002F5634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imes New Roman" w:hAnsiTheme="minorBidi" w:cstheme="minorBidi"/>
          <w:bCs/>
          <w:color w:val="548DD4" w:themeColor="text2" w:themeTint="99"/>
          <w:sz w:val="28"/>
          <w:szCs w:val="28"/>
          <w:rtl/>
          <w:lang w:bidi="he"/>
        </w:rPr>
      </w:pPr>
      <w:r w:rsidRPr="004D4B9E">
        <w:rPr>
          <w:rFonts w:asciiTheme="minorBidi" w:eastAsia="Times New Roman" w:hAnsiTheme="minorBidi" w:cstheme="minorBidi"/>
          <w:bCs/>
          <w:color w:val="548DD4" w:themeColor="text2" w:themeTint="99"/>
          <w:sz w:val="28"/>
          <w:szCs w:val="28"/>
          <w:rtl/>
          <w:lang w:bidi="he"/>
        </w:rPr>
        <w:t>אתר הקורס באינטרנט</w:t>
      </w:r>
      <w:r w:rsidRPr="004D4B9E">
        <w:rPr>
          <w:rFonts w:asciiTheme="minorBidi" w:eastAsia="Times New Roman" w:hAnsiTheme="minorBidi" w:cstheme="minorBidi"/>
          <w:bCs/>
          <w:color w:val="548DD4" w:themeColor="text2" w:themeTint="99"/>
          <w:sz w:val="28"/>
          <w:szCs w:val="28"/>
          <w:rtl/>
        </w:rPr>
        <w:t>:</w:t>
      </w:r>
      <w:r w:rsidRPr="004D4B9E">
        <w:rPr>
          <w:rFonts w:asciiTheme="minorBidi" w:eastAsia="Times New Roman" w:hAnsiTheme="minorBidi" w:cstheme="minorBidi"/>
          <w:bCs/>
          <w:color w:val="548DD4" w:themeColor="text2" w:themeTint="99"/>
          <w:sz w:val="28"/>
          <w:szCs w:val="28"/>
          <w:rtl/>
          <w:lang w:bidi="he"/>
        </w:rPr>
        <w:t xml:space="preserve"> </w:t>
      </w:r>
      <w:r w:rsidR="004D4B9E" w:rsidRPr="00B9302B">
        <w:rPr>
          <w:rFonts w:asciiTheme="minorBidi" w:eastAsia="Times New Roman" w:hAnsiTheme="minorBidi" w:cstheme="minorBidi" w:hint="cs"/>
          <w:b/>
          <w:color w:val="548DD4" w:themeColor="text2" w:themeTint="99"/>
          <w:sz w:val="28"/>
          <w:szCs w:val="28"/>
          <w:rtl/>
          <w:lang w:bidi="he"/>
        </w:rPr>
        <w:t>מודל</w:t>
      </w:r>
      <w:r w:rsidRPr="004D4B9E">
        <w:rPr>
          <w:rFonts w:asciiTheme="minorBidi" w:eastAsia="Times New Roman" w:hAnsiTheme="minorBidi" w:cstheme="minorBidi"/>
          <w:bCs/>
          <w:color w:val="548DD4" w:themeColor="text2" w:themeTint="99"/>
          <w:sz w:val="28"/>
          <w:szCs w:val="28"/>
          <w:rtl/>
          <w:lang w:bidi="he"/>
        </w:rPr>
        <w:t xml:space="preserve">      </w:t>
      </w:r>
      <w:r w:rsidRPr="004D4B9E">
        <w:rPr>
          <w:rFonts w:asciiTheme="minorBidi" w:eastAsia="Times New Roman" w:hAnsiTheme="minorBidi" w:cstheme="minorBidi"/>
          <w:bCs/>
          <w:color w:val="548DD4" w:themeColor="text2" w:themeTint="99"/>
          <w:sz w:val="28"/>
          <w:szCs w:val="28"/>
          <w:rtl/>
          <w:lang w:bidi="he"/>
        </w:rPr>
        <w:tab/>
      </w:r>
    </w:p>
    <w:p w14:paraId="6B42DE5C" w14:textId="77777777" w:rsidR="00577B0E" w:rsidRDefault="002F563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 </w:t>
      </w:r>
    </w:p>
    <w:p w14:paraId="432DA7E8" w14:textId="77777777" w:rsidR="004D4B9E" w:rsidRDefault="004D4B9E" w:rsidP="004D4B9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6B42DE5D" w14:textId="65A2852D" w:rsidR="00577B0E" w:rsidRDefault="002F5634" w:rsidP="004D4B9E">
      <w:pPr>
        <w:pBdr>
          <w:top w:val="nil"/>
          <w:left w:val="nil"/>
          <w:bottom w:val="nil"/>
          <w:right w:val="nil"/>
          <w:between w:val="nil"/>
        </w:pBdr>
        <w:bidi/>
        <w:ind w:left="20"/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</w:pPr>
      <w:r w:rsidRPr="004D4B9E"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  <w:t>א</w:t>
      </w:r>
      <w:r w:rsidRPr="004D4B9E">
        <w:rPr>
          <w:rFonts w:ascii="Times New Roman" w:eastAsia="Times New Roman" w:hAnsi="Times New Roman" w:cs="Times New Roman"/>
          <w:bCs/>
          <w:sz w:val="28"/>
          <w:szCs w:val="28"/>
          <w:rtl/>
        </w:rPr>
        <w:t xml:space="preserve">. </w:t>
      </w:r>
      <w:r w:rsidRPr="004D4B9E"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  <w:t>מטרות הקורס</w:t>
      </w:r>
      <w:r w:rsidR="004D4B9E" w:rsidRPr="004D4B9E">
        <w:rPr>
          <w:rFonts w:ascii="Times New Roman" w:eastAsia="Times New Roman" w:hAnsi="Times New Roman" w:cs="Times New Roman" w:hint="cs"/>
          <w:bCs/>
          <w:sz w:val="28"/>
          <w:szCs w:val="28"/>
          <w:rtl/>
        </w:rPr>
        <w:t>:</w:t>
      </w:r>
    </w:p>
    <w:p w14:paraId="3024F728" w14:textId="77777777" w:rsidR="004D4B9E" w:rsidRPr="004D4B9E" w:rsidRDefault="004D4B9E" w:rsidP="004D4B9E">
      <w:pPr>
        <w:pBdr>
          <w:top w:val="nil"/>
          <w:left w:val="nil"/>
          <w:bottom w:val="nil"/>
          <w:right w:val="nil"/>
          <w:between w:val="nil"/>
        </w:pBdr>
        <w:bidi/>
        <w:ind w:left="20"/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</w:pPr>
    </w:p>
    <w:p w14:paraId="6B42DE5E" w14:textId="498F4992" w:rsidR="00577B0E" w:rsidRDefault="002F5634" w:rsidP="007A4774">
      <w:p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rtl/>
          <w:lang w:bidi="he"/>
        </w:rPr>
      </w:pPr>
      <w:r w:rsidRPr="004D4B9E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קורס זה הוא קורס מתקדם בתאוריות פמיניסטיות המתמקד בשאלה אילו סוגים של חזון פמ</w:t>
      </w:r>
      <w:r w:rsidR="004D4B9E">
        <w:rPr>
          <w:rFonts w:ascii="Times New Roman" w:eastAsia="Times New Roman" w:hAnsi="Times New Roman" w:cs="Times New Roman" w:hint="cs"/>
          <w:sz w:val="26"/>
          <w:szCs w:val="26"/>
          <w:rtl/>
          <w:lang w:bidi="he"/>
        </w:rPr>
        <w:t>י</w:t>
      </w:r>
      <w:r w:rsidRPr="004D4B9E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ניסטי מנסחות תיאוריות פמיניסטיות עכשוויות</w:t>
      </w:r>
      <w:r w:rsidR="004D4B9E">
        <w:rPr>
          <w:rFonts w:ascii="Times New Roman" w:eastAsia="Times New Roman" w:hAnsi="Times New Roman" w:cs="Times New Roman" w:hint="cs"/>
          <w:sz w:val="26"/>
          <w:szCs w:val="26"/>
          <w:rtl/>
          <w:lang w:bidi="he"/>
        </w:rPr>
        <w:t>.</w:t>
      </w:r>
    </w:p>
    <w:p w14:paraId="152A7BFF" w14:textId="77777777" w:rsidR="004D4B9E" w:rsidRPr="004D4B9E" w:rsidRDefault="004D4B9E" w:rsidP="004D4B9E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rtl/>
          <w:lang w:bidi="he"/>
        </w:rPr>
      </w:pPr>
    </w:p>
    <w:p w14:paraId="6B42DE5F" w14:textId="21751E24" w:rsidR="00577B0E" w:rsidRPr="004D4B9E" w:rsidRDefault="002F5634" w:rsidP="004D4B9E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</w:pPr>
      <w:r w:rsidRPr="004D4B9E"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  <w:t>ב</w:t>
      </w:r>
      <w:r w:rsidRPr="004D4B9E">
        <w:rPr>
          <w:rFonts w:ascii="Times New Roman" w:eastAsia="Times New Roman" w:hAnsi="Times New Roman" w:cs="Times New Roman"/>
          <w:bCs/>
          <w:sz w:val="28"/>
          <w:szCs w:val="28"/>
          <w:rtl/>
        </w:rPr>
        <w:t xml:space="preserve">. </w:t>
      </w:r>
      <w:r w:rsidRPr="004D4B9E"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  <w:t>תוכן הקורס</w:t>
      </w:r>
      <w:r w:rsidR="004D4B9E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he"/>
        </w:rPr>
        <w:t>:</w:t>
      </w:r>
    </w:p>
    <w:p w14:paraId="428CFEE5" w14:textId="525E7453" w:rsidR="007A4774" w:rsidRDefault="002F5634" w:rsidP="00B9302B">
      <w:p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4D4B9E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הקורס יציג שתיים מהגישות התיאורטיות המרכזיות  בפילוסופיה הפמיניסטית</w:t>
      </w:r>
      <w:r w:rsidR="004D4B9E">
        <w:rPr>
          <w:rFonts w:ascii="Times New Roman" w:eastAsia="Times New Roman" w:hAnsi="Times New Roman" w:cs="Times New Roman" w:hint="cs"/>
          <w:sz w:val="26"/>
          <w:szCs w:val="26"/>
          <w:rtl/>
          <w:lang w:bidi="he"/>
        </w:rPr>
        <w:t xml:space="preserve"> </w:t>
      </w:r>
      <w:r w:rsidRPr="004D4B9E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ובתאוריות מגדר העוסקות בניסוח האידאל החברתי מנקודת מבט פמיניסטית</w:t>
      </w:r>
      <w:r w:rsidRPr="004D4B9E">
        <w:rPr>
          <w:rFonts w:ascii="Times New Roman" w:eastAsia="Times New Roman" w:hAnsi="Times New Roman" w:cs="Times New Roman"/>
          <w:sz w:val="26"/>
          <w:szCs w:val="26"/>
          <w:rtl/>
        </w:rPr>
        <w:t xml:space="preserve">. </w:t>
      </w:r>
      <w:r w:rsidRPr="004D4B9E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הקורס ידון בחשיבות של קיומו של חזון כזה בתיאוריה פוליטית</w:t>
      </w:r>
      <w:r w:rsidRPr="004D4B9E">
        <w:rPr>
          <w:rFonts w:ascii="Times New Roman" w:eastAsia="Times New Roman" w:hAnsi="Times New Roman" w:cs="Times New Roman"/>
          <w:sz w:val="26"/>
          <w:szCs w:val="26"/>
          <w:rtl/>
        </w:rPr>
        <w:t xml:space="preserve">, </w:t>
      </w:r>
      <w:r w:rsidRPr="004D4B9E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 xml:space="preserve">ינתח את המורכבות המבנית בניסוח חזון כזה ויבחן את הגותן של לוס </w:t>
      </w:r>
      <w:proofErr w:type="spellStart"/>
      <w:r w:rsidRPr="004D4B9E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איריגרי</w:t>
      </w:r>
      <w:proofErr w:type="spellEnd"/>
      <w:r w:rsidRPr="004D4B9E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 xml:space="preserve"> </w:t>
      </w:r>
      <w:proofErr w:type="spellStart"/>
      <w:r w:rsidRPr="004D4B9E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וג</w:t>
      </w:r>
      <w:proofErr w:type="spellEnd"/>
      <w:r w:rsidRPr="004D4B9E">
        <w:rPr>
          <w:rFonts w:ascii="Times New Roman" w:eastAsia="Times New Roman" w:hAnsi="Times New Roman" w:cs="Times New Roman"/>
          <w:sz w:val="26"/>
          <w:szCs w:val="26"/>
          <w:rtl/>
        </w:rPr>
        <w:t>'</w:t>
      </w:r>
      <w:proofErr w:type="spellStart"/>
      <w:r w:rsidRPr="004D4B9E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ודית</w:t>
      </w:r>
      <w:proofErr w:type="spellEnd"/>
      <w:r w:rsidRPr="004D4B9E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 xml:space="preserve"> </w:t>
      </w:r>
      <w:proofErr w:type="spellStart"/>
      <w:r w:rsidRPr="004D4B9E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באטלר</w:t>
      </w:r>
      <w:proofErr w:type="spellEnd"/>
      <w:r w:rsidRPr="004D4B9E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 xml:space="preserve"> כמציעות </w:t>
      </w:r>
      <w:proofErr w:type="spellStart"/>
      <w:r w:rsidRPr="004D4B9E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חזון</w:t>
      </w:r>
      <w:proofErr w:type="spellEnd"/>
      <w:r w:rsidRPr="004D4B9E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 xml:space="preserve"> כזה</w:t>
      </w:r>
      <w:r w:rsidR="00B9302B">
        <w:rPr>
          <w:rFonts w:ascii="Times New Roman" w:eastAsia="Times New Roman" w:hAnsi="Times New Roman" w:cs="Times New Roman"/>
          <w:sz w:val="26"/>
          <w:szCs w:val="26"/>
          <w:rtl/>
        </w:rPr>
        <w:t>.</w:t>
      </w:r>
    </w:p>
    <w:p w14:paraId="0CA16D65" w14:textId="77777777" w:rsidR="00B9302B" w:rsidRDefault="00B9302B" w:rsidP="00B9302B">
      <w:p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</w:p>
    <w:p w14:paraId="27EE7BFB" w14:textId="77777777" w:rsidR="00B9302B" w:rsidRDefault="00B9302B" w:rsidP="00B9302B">
      <w:p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</w:p>
    <w:p w14:paraId="0317202F" w14:textId="77777777" w:rsidR="00B9302B" w:rsidRPr="004D4B9E" w:rsidRDefault="00B9302B" w:rsidP="00B9302B">
      <w:p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</w:p>
    <w:p w14:paraId="6B42DE61" w14:textId="77777777" w:rsidR="00577B0E" w:rsidRPr="007A4774" w:rsidRDefault="002F5634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</w:pPr>
      <w:r w:rsidRPr="007A4774"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  <w:lastRenderedPageBreak/>
        <w:t xml:space="preserve"> תכנית הוראה מפורטת לכל השיעורים</w:t>
      </w:r>
      <w:r w:rsidRPr="007A4774">
        <w:rPr>
          <w:rFonts w:ascii="Times New Roman" w:eastAsia="Times New Roman" w:hAnsi="Times New Roman" w:cs="Times New Roman"/>
          <w:bCs/>
          <w:sz w:val="28"/>
          <w:szCs w:val="28"/>
          <w:rtl/>
        </w:rPr>
        <w:t>:</w:t>
      </w:r>
    </w:p>
    <w:p w14:paraId="6B42DE63" w14:textId="77777777" w:rsidR="00577B0E" w:rsidRDefault="00577B0E">
      <w:pPr>
        <w:pBdr>
          <w:top w:val="nil"/>
          <w:left w:val="nil"/>
          <w:bottom w:val="nil"/>
          <w:right w:val="nil"/>
          <w:between w:val="nil"/>
        </w:pBdr>
        <w:bidi/>
        <w:ind w:left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tbl>
      <w:tblPr>
        <w:tblStyle w:val="a5"/>
        <w:bidiVisual/>
        <w:tblW w:w="934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4170"/>
        <w:gridCol w:w="3130"/>
      </w:tblGrid>
      <w:tr w:rsidR="00577B0E" w14:paraId="6B42DE67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DE64" w14:textId="77777777" w:rsidR="00577B0E" w:rsidRDefault="002F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שעור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DE65" w14:textId="77777777" w:rsidR="00577B0E" w:rsidRDefault="002F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נושא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DE66" w14:textId="77777777" w:rsidR="00577B0E" w:rsidRDefault="002F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קריאה</w:t>
            </w:r>
          </w:p>
        </w:tc>
      </w:tr>
      <w:tr w:rsidR="00577B0E" w14:paraId="6B42DE6B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DE68" w14:textId="77777777" w:rsidR="00577B0E" w:rsidRDefault="002F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1-2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DE69" w14:textId="77777777" w:rsidR="00577B0E" w:rsidRDefault="002F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הקדמה פמיניזם וחזון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DE6A" w14:textId="77777777" w:rsidR="00577B0E" w:rsidRDefault="002F5634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אלן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''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בלינגסקי</w:t>
            </w:r>
            <w:proofErr w:type="spellEnd"/>
          </w:p>
        </w:tc>
      </w:tr>
      <w:tr w:rsidR="00577B0E" w14:paraId="6B42DE6F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DE6C" w14:textId="77777777" w:rsidR="00577B0E" w:rsidRDefault="002F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3-7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DE6D" w14:textId="77777777" w:rsidR="00577B0E" w:rsidRDefault="002F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 xml:space="preserve">לוס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איריגרי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תרבות של הבדל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DE6E" w14:textId="77777777" w:rsidR="00577B0E" w:rsidRDefault="002F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איריגרי</w:t>
            </w:r>
            <w:proofErr w:type="spellEnd"/>
          </w:p>
        </w:tc>
      </w:tr>
      <w:tr w:rsidR="00577B0E" w14:paraId="6B42DE73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DE70" w14:textId="77777777" w:rsidR="00577B0E" w:rsidRDefault="002F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8-11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DE71" w14:textId="77777777" w:rsidR="00577B0E" w:rsidRDefault="002F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ודית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באטלר</w:t>
            </w:r>
            <w:proofErr w:type="spellEnd"/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DE72" w14:textId="77777777" w:rsidR="00577B0E" w:rsidRDefault="002F5634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באטלר</w:t>
            </w:r>
            <w:proofErr w:type="spellEnd"/>
          </w:p>
        </w:tc>
      </w:tr>
      <w:tr w:rsidR="00577B0E" w14:paraId="6B42DE77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DE74" w14:textId="77777777" w:rsidR="00577B0E" w:rsidRDefault="002F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12-13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DE75" w14:textId="77777777" w:rsidR="00577B0E" w:rsidRDefault="002F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דיון משווה וסיכום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DE76" w14:textId="77777777" w:rsidR="00577B0E" w:rsidRDefault="0057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</w:p>
        </w:tc>
      </w:tr>
    </w:tbl>
    <w:p w14:paraId="6B42DE78" w14:textId="77777777" w:rsidR="00577B0E" w:rsidRDefault="00577B0E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6B42DE79" w14:textId="77777777" w:rsidR="00577B0E" w:rsidRDefault="002F5634">
      <w:pPr>
        <w:pBdr>
          <w:top w:val="nil"/>
          <w:left w:val="nil"/>
          <w:bottom w:val="nil"/>
          <w:right w:val="nil"/>
          <w:between w:val="nil"/>
        </w:pBdr>
        <w:bidi/>
        <w:ind w:left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</w:p>
    <w:p w14:paraId="03B7506B" w14:textId="411E5AD5" w:rsidR="007A4774" w:rsidRDefault="007A4774" w:rsidP="007A477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he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he"/>
        </w:rPr>
        <w:t>ג</w:t>
      </w:r>
      <w:r w:rsidRPr="007A4774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he"/>
        </w:rPr>
        <w:t xml:space="preserve">.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he"/>
        </w:rPr>
        <w:t>דרישות</w:t>
      </w:r>
      <w:r w:rsidRPr="007A4774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he"/>
        </w:rPr>
        <w:t xml:space="preserve"> קדם: </w:t>
      </w:r>
    </w:p>
    <w:p w14:paraId="6B42DE7A" w14:textId="29C7AABA" w:rsidR="00577B0E" w:rsidRPr="007A4774" w:rsidRDefault="007A4774" w:rsidP="007A477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sz w:val="26"/>
          <w:szCs w:val="26"/>
          <w:rtl/>
          <w:lang w:bidi="he"/>
        </w:rPr>
      </w:pPr>
      <w:r w:rsidRPr="00CC7641">
        <w:rPr>
          <w:rFonts w:ascii="Times New Roman" w:eastAsia="Times New Roman" w:hAnsi="Times New Roman" w:cs="Times New Roman"/>
          <w:sz w:val="26"/>
          <w:szCs w:val="26"/>
          <w:u w:val="single"/>
          <w:rtl/>
          <w:lang w:bidi="he"/>
        </w:rPr>
        <w:t>מומלץ מאד</w:t>
      </w:r>
      <w:r w:rsidRPr="007A4774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 xml:space="preserve"> הקורס: </w:t>
      </w:r>
      <w:r>
        <w:rPr>
          <w:rFonts w:ascii="Times New Roman" w:eastAsia="Times New Roman" w:hAnsi="Times New Roman" w:cs="Times New Roman" w:hint="cs"/>
          <w:sz w:val="26"/>
          <w:szCs w:val="26"/>
          <w:rtl/>
          <w:lang w:bidi="he"/>
        </w:rPr>
        <w:t>"תרבות ומגדר" (27-929-01)</w:t>
      </w:r>
    </w:p>
    <w:p w14:paraId="448F6BAE" w14:textId="77777777" w:rsidR="007A4774" w:rsidRDefault="007A4774" w:rsidP="007A4774">
      <w:pPr>
        <w:pBdr>
          <w:top w:val="nil"/>
          <w:left w:val="nil"/>
          <w:bottom w:val="nil"/>
          <w:right w:val="nil"/>
          <w:between w:val="nil"/>
        </w:pBdr>
        <w:bidi/>
        <w:ind w:left="2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he"/>
        </w:rPr>
      </w:pPr>
    </w:p>
    <w:p w14:paraId="49E9CCAE" w14:textId="4629898C" w:rsidR="007A4774" w:rsidRPr="004D4B9E" w:rsidRDefault="007A4774" w:rsidP="007A477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</w:pPr>
      <w:r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he"/>
        </w:rPr>
        <w:t>ד</w:t>
      </w:r>
      <w:r w:rsidR="002F5634" w:rsidRPr="004D4B9E">
        <w:rPr>
          <w:rFonts w:ascii="Times New Roman" w:eastAsia="Times New Roman" w:hAnsi="Times New Roman" w:cs="Times New Roman"/>
          <w:bCs/>
          <w:sz w:val="28"/>
          <w:szCs w:val="28"/>
          <w:rtl/>
        </w:rPr>
        <w:t xml:space="preserve">. </w:t>
      </w:r>
      <w:r w:rsidR="002F5634" w:rsidRPr="004D4B9E"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  <w:t>חובות</w:t>
      </w:r>
      <w:r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he"/>
        </w:rPr>
        <w:t xml:space="preserve"> / דרישות / מטלות</w:t>
      </w:r>
      <w:r w:rsidR="002F5634" w:rsidRPr="004D4B9E"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  <w:t>:</w:t>
      </w:r>
    </w:p>
    <w:p w14:paraId="27E190FA" w14:textId="2D32132D" w:rsidR="007A4774" w:rsidRPr="007A4774" w:rsidRDefault="002F5634" w:rsidP="007A4774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rtl/>
          <w:lang w:bidi="he"/>
        </w:rPr>
      </w:pPr>
      <w:r w:rsidRPr="007A4774">
        <w:rPr>
          <w:rFonts w:ascii="Times New Roman" w:eastAsia="Times New Roman" w:hAnsi="Times New Roman" w:cs="Times New Roman"/>
          <w:sz w:val="26"/>
          <w:szCs w:val="26"/>
          <w:rtl/>
        </w:rPr>
        <w:t xml:space="preserve">·  </w:t>
      </w:r>
      <w:r w:rsidRPr="007A4774">
        <w:rPr>
          <w:rFonts w:ascii="Times New Roman" w:eastAsia="Times New Roman" w:hAnsi="Times New Roman" w:cs="Times New Roman"/>
          <w:sz w:val="26"/>
          <w:szCs w:val="26"/>
          <w:rtl/>
        </w:rPr>
        <w:tab/>
      </w:r>
      <w:r w:rsidR="007A4774">
        <w:rPr>
          <w:rFonts w:ascii="Times New Roman" w:eastAsia="Times New Roman" w:hAnsi="Times New Roman" w:cs="Times New Roman" w:hint="cs"/>
          <w:sz w:val="26"/>
          <w:szCs w:val="26"/>
          <w:rtl/>
          <w:lang w:bidi="he"/>
        </w:rPr>
        <w:t>*</w:t>
      </w:r>
      <w:r w:rsidRPr="007A4774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 xml:space="preserve">נוכחות פעילה בכתה   </w:t>
      </w:r>
    </w:p>
    <w:p w14:paraId="67CB9886" w14:textId="48B79D1D" w:rsidR="007A4774" w:rsidRDefault="004D4B9E" w:rsidP="00B9302B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7A4774">
        <w:rPr>
          <w:rFonts w:ascii="Times New Roman" w:eastAsia="Times New Roman" w:hAnsi="Times New Roman" w:cs="Times New Roman" w:hint="cs"/>
          <w:sz w:val="26"/>
          <w:szCs w:val="26"/>
          <w:rtl/>
          <w:lang w:bidi="he"/>
        </w:rPr>
        <w:t xml:space="preserve">      </w:t>
      </w:r>
      <w:r w:rsidR="007A4774">
        <w:rPr>
          <w:rFonts w:ascii="Times New Roman" w:eastAsia="Times New Roman" w:hAnsi="Times New Roman" w:cs="Times New Roman" w:hint="cs"/>
          <w:sz w:val="26"/>
          <w:szCs w:val="26"/>
          <w:rtl/>
          <w:lang w:bidi="he"/>
        </w:rPr>
        <w:t>*</w:t>
      </w:r>
      <w:r w:rsidR="002F5634" w:rsidRPr="007A4774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קריאה של הטקסטים בבית לפני השיעור</w:t>
      </w:r>
      <w:r w:rsidR="002F5634" w:rsidRPr="007A4774">
        <w:rPr>
          <w:rFonts w:ascii="Times New Roman" w:eastAsia="Times New Roman" w:hAnsi="Times New Roman" w:cs="Times New Roman"/>
          <w:sz w:val="26"/>
          <w:szCs w:val="26"/>
          <w:rtl/>
        </w:rPr>
        <w:t xml:space="preserve">. </w:t>
      </w:r>
    </w:p>
    <w:p w14:paraId="47132A4A" w14:textId="77777777" w:rsidR="00B9302B" w:rsidRDefault="00B9302B" w:rsidP="00B9302B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</w:p>
    <w:p w14:paraId="286F7893" w14:textId="372292C0" w:rsidR="007A4774" w:rsidRPr="00B9302B" w:rsidRDefault="007A4774" w:rsidP="007A4774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ind w:hanging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B9302B">
        <w:rPr>
          <w:rFonts w:ascii="Times New Roman" w:eastAsia="Times New Roman" w:hAnsi="Times New Roman" w:cs="Times New Roman" w:hint="cs"/>
          <w:sz w:val="26"/>
          <w:szCs w:val="26"/>
          <w:rtl/>
        </w:rPr>
        <w:t xml:space="preserve">     </w:t>
      </w:r>
      <w:r w:rsidRPr="00B9302B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he"/>
        </w:rPr>
        <w:t>מטלות</w:t>
      </w:r>
      <w:r w:rsidRPr="00B9302B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:</w:t>
      </w:r>
    </w:p>
    <w:p w14:paraId="44648DDE" w14:textId="12F2E629" w:rsidR="007A4774" w:rsidRPr="007A4774" w:rsidRDefault="007A4774" w:rsidP="007A4774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sz w:val="26"/>
          <w:szCs w:val="26"/>
          <w:rtl/>
          <w:lang w:bidi="he"/>
        </w:rPr>
        <w:t xml:space="preserve">     עבודת סיכום </w:t>
      </w:r>
    </w:p>
    <w:p w14:paraId="50A13845" w14:textId="77777777" w:rsidR="004D4B9E" w:rsidRDefault="004D4B9E" w:rsidP="004D4B9E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EB130BC" w14:textId="114C70A7" w:rsidR="007A4774" w:rsidRPr="007A4774" w:rsidRDefault="002F5634" w:rsidP="007A4774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ind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</w:pPr>
      <w:r w:rsidRPr="007A4774"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  <w:t xml:space="preserve">   </w:t>
      </w:r>
      <w:r w:rsidR="007A4774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he"/>
        </w:rPr>
        <w:t>ה.</w:t>
      </w:r>
      <w:r w:rsidRPr="007A4774"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  <w:t xml:space="preserve"> </w:t>
      </w:r>
      <w:r w:rsidR="007A4774" w:rsidRPr="007A4774"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  <w:t>מרכיבי הציון הסופי</w:t>
      </w:r>
      <w:r w:rsidR="007A4774" w:rsidRPr="007A4774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he"/>
        </w:rPr>
        <w:t>:</w:t>
      </w:r>
    </w:p>
    <w:p w14:paraId="2CB03387" w14:textId="77777777" w:rsidR="007A4774" w:rsidRPr="007A4774" w:rsidRDefault="002F5634" w:rsidP="007A4774">
      <w:pPr>
        <w:pBdr>
          <w:top w:val="nil"/>
          <w:left w:val="nil"/>
          <w:bottom w:val="nil"/>
          <w:right w:val="nil"/>
          <w:between w:val="nil"/>
        </w:pBdr>
        <w:bidi/>
        <w:ind w:left="20"/>
        <w:rPr>
          <w:rFonts w:ascii="Times New Roman" w:eastAsia="Times New Roman" w:hAnsi="Times New Roman" w:cs="Times New Roman"/>
          <w:sz w:val="26"/>
          <w:szCs w:val="26"/>
          <w:rtl/>
          <w:lang w:bidi="he"/>
        </w:rPr>
      </w:pPr>
      <w:r w:rsidRPr="007A4774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עבודת סיכום</w:t>
      </w:r>
      <w:r w:rsidRPr="007A4774">
        <w:rPr>
          <w:rFonts w:ascii="Times New Roman" w:eastAsia="Times New Roman" w:hAnsi="Times New Roman" w:cs="Times New Roman"/>
          <w:sz w:val="26"/>
          <w:szCs w:val="26"/>
          <w:rtl/>
        </w:rPr>
        <w:t xml:space="preserve">: 100% </w:t>
      </w:r>
    </w:p>
    <w:p w14:paraId="6B42DE7E" w14:textId="7EB5A013" w:rsidR="00577B0E" w:rsidRDefault="002F5634" w:rsidP="007A4774">
      <w:pPr>
        <w:pBdr>
          <w:top w:val="nil"/>
          <w:left w:val="nil"/>
          <w:bottom w:val="nil"/>
          <w:right w:val="nil"/>
          <w:between w:val="nil"/>
        </w:pBdr>
        <w:bidi/>
        <w:ind w:left="20"/>
        <w:rPr>
          <w:rFonts w:ascii="Times New Roman" w:eastAsia="Times New Roman" w:hAnsi="Times New Roman" w:cs="Times New Roman"/>
          <w:sz w:val="26"/>
          <w:szCs w:val="26"/>
          <w:rtl/>
          <w:lang w:bidi="he"/>
        </w:rPr>
      </w:pPr>
      <w:r w:rsidRPr="007A4774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 xml:space="preserve">ניתן בתיאום עם המרצה להציג דיון בפני הכיתה עבור בונוס של </w:t>
      </w:r>
      <w:r w:rsidRPr="007A4774">
        <w:rPr>
          <w:rFonts w:ascii="Times New Roman" w:eastAsia="Times New Roman" w:hAnsi="Times New Roman" w:cs="Times New Roman"/>
          <w:sz w:val="26"/>
          <w:szCs w:val="26"/>
          <w:rtl/>
        </w:rPr>
        <w:t xml:space="preserve">5 </w:t>
      </w:r>
      <w:r w:rsidRPr="007A4774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נקודות</w:t>
      </w:r>
      <w:r w:rsidRPr="007A4774">
        <w:rPr>
          <w:rFonts w:ascii="Times New Roman" w:eastAsia="Times New Roman" w:hAnsi="Times New Roman" w:cs="Times New Roman"/>
          <w:sz w:val="26"/>
          <w:szCs w:val="26"/>
          <w:rtl/>
        </w:rPr>
        <w:t>.</w:t>
      </w:r>
    </w:p>
    <w:p w14:paraId="31A9A7C1" w14:textId="77777777" w:rsidR="007A4774" w:rsidRDefault="007A4774" w:rsidP="007A477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B42DE80" w14:textId="0B5FE9C7" w:rsidR="00577B0E" w:rsidRPr="007A4774" w:rsidRDefault="007A4774" w:rsidP="007A477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</w:pPr>
      <w:r w:rsidRPr="007A4774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he"/>
        </w:rPr>
        <w:t>ו</w:t>
      </w:r>
      <w:r w:rsidR="002F5634" w:rsidRPr="007A4774">
        <w:rPr>
          <w:rFonts w:ascii="Times New Roman" w:eastAsia="Times New Roman" w:hAnsi="Times New Roman" w:cs="Times New Roman"/>
          <w:bCs/>
          <w:sz w:val="28"/>
          <w:szCs w:val="28"/>
          <w:rtl/>
        </w:rPr>
        <w:t xml:space="preserve">. </w:t>
      </w:r>
      <w:r w:rsidR="002F5634" w:rsidRPr="007A4774"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  <w:t>ביבליוגרפיה</w:t>
      </w:r>
      <w:r w:rsidR="002F5634" w:rsidRPr="007A4774">
        <w:rPr>
          <w:rFonts w:ascii="Times New Roman" w:eastAsia="Times New Roman" w:hAnsi="Times New Roman" w:cs="Times New Roman"/>
          <w:bCs/>
          <w:sz w:val="28"/>
          <w:szCs w:val="28"/>
          <w:rtl/>
        </w:rPr>
        <w:t xml:space="preserve">: </w:t>
      </w:r>
    </w:p>
    <w:p w14:paraId="6B42DE81" w14:textId="77777777" w:rsidR="00577B0E" w:rsidRDefault="00577B0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6B42DE82" w14:textId="77777777" w:rsidR="00577B0E" w:rsidRPr="007A4774" w:rsidRDefault="002F563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he"/>
        </w:rPr>
      </w:pPr>
      <w:r w:rsidRPr="007A4774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he"/>
        </w:rPr>
        <w:t>הבעיה</w:t>
      </w:r>
    </w:p>
    <w:p w14:paraId="6B42DE83" w14:textId="792CBC02" w:rsidR="00577B0E" w:rsidRPr="002F5634" w:rsidRDefault="002F5634" w:rsidP="00CC76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Allen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Amy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. 2015 </w:t>
      </w:r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>“Emancipation without Utopia: Subjection, Modernity, and the N</w:t>
      </w:r>
    </w:p>
    <w:p w14:paraId="21084BEE" w14:textId="4018F63F" w:rsidR="00B9302B" w:rsidRDefault="002F5634" w:rsidP="00B930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>ormative</w:t>
      </w:r>
      <w:proofErr w:type="spellEnd"/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Claims of Feminist Critical Theory.” </w:t>
      </w:r>
      <w:r w:rsidRPr="002F563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Hypatia</w:t>
      </w:r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 (3): 513–29.</w:t>
      </w:r>
    </w:p>
    <w:p w14:paraId="18AB97F2" w14:textId="77777777" w:rsidR="00B9302B" w:rsidRDefault="00B9302B" w:rsidP="00B930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F0D637" w14:textId="77777777" w:rsidR="00B9302B" w:rsidRPr="002F5634" w:rsidRDefault="00B9302B" w:rsidP="00B930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42DE85" w14:textId="77777777" w:rsidR="00577B0E" w:rsidRPr="002F5634" w:rsidRDefault="002F56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2F5634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lastRenderedPageBreak/>
        <w:t xml:space="preserve">Billingsley, Amy.  “Hope in a Vice: Carole </w:t>
      </w:r>
      <w:proofErr w:type="spellStart"/>
      <w:r w:rsidRPr="002F5634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Pateman</w:t>
      </w:r>
      <w:proofErr w:type="spellEnd"/>
      <w:r w:rsidRPr="002F5634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, Judith Butler, and Suspicious Hope” Hypatia vol. 30, no. 3: 597-612</w:t>
      </w:r>
    </w:p>
    <w:p w14:paraId="79981E07" w14:textId="77777777" w:rsidR="007A4774" w:rsidRDefault="007A477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  <w:rtl/>
        </w:rPr>
      </w:pPr>
    </w:p>
    <w:p w14:paraId="6B42DE86" w14:textId="77777777" w:rsidR="00577B0E" w:rsidRPr="007A4774" w:rsidRDefault="002F5634" w:rsidP="007A477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  <w:rtl/>
          <w:lang w:bidi="he"/>
        </w:rPr>
      </w:pPr>
      <w:r w:rsidRPr="007A4774">
        <w:rPr>
          <w:rFonts w:ascii="Times New Roman" w:eastAsia="Times New Roman" w:hAnsi="Times New Roman" w:cs="Times New Roman"/>
          <w:bCs/>
          <w:sz w:val="26"/>
          <w:szCs w:val="26"/>
          <w:rtl/>
          <w:lang w:bidi="he"/>
        </w:rPr>
        <w:t xml:space="preserve">לוס </w:t>
      </w:r>
      <w:proofErr w:type="spellStart"/>
      <w:r w:rsidRPr="007A4774">
        <w:rPr>
          <w:rFonts w:ascii="Times New Roman" w:eastAsia="Times New Roman" w:hAnsi="Times New Roman" w:cs="Times New Roman"/>
          <w:bCs/>
          <w:sz w:val="26"/>
          <w:szCs w:val="26"/>
          <w:rtl/>
          <w:lang w:bidi="he"/>
        </w:rPr>
        <w:t>איריגרי</w:t>
      </w:r>
      <w:proofErr w:type="spellEnd"/>
      <w:r w:rsidRPr="007A4774">
        <w:rPr>
          <w:rFonts w:ascii="Times New Roman" w:eastAsia="Times New Roman" w:hAnsi="Times New Roman" w:cs="Times New Roman"/>
          <w:bCs/>
          <w:sz w:val="26"/>
          <w:szCs w:val="26"/>
          <w:rtl/>
        </w:rPr>
        <w:t xml:space="preserve">: </w:t>
      </w:r>
      <w:proofErr w:type="spellStart"/>
      <w:r w:rsidRPr="007A4774">
        <w:rPr>
          <w:rFonts w:ascii="Times New Roman" w:eastAsia="Times New Roman" w:hAnsi="Times New Roman" w:cs="Times New Roman"/>
          <w:bCs/>
          <w:sz w:val="26"/>
          <w:szCs w:val="26"/>
          <w:rtl/>
          <w:lang w:bidi="he"/>
        </w:rPr>
        <w:t>חזון</w:t>
      </w:r>
      <w:proofErr w:type="spellEnd"/>
      <w:r w:rsidRPr="007A4774">
        <w:rPr>
          <w:rFonts w:ascii="Times New Roman" w:eastAsia="Times New Roman" w:hAnsi="Times New Roman" w:cs="Times New Roman"/>
          <w:bCs/>
          <w:sz w:val="26"/>
          <w:szCs w:val="26"/>
          <w:rtl/>
          <w:lang w:bidi="he"/>
        </w:rPr>
        <w:t xml:space="preserve"> חברתי של הבדל בין מיני</w:t>
      </w:r>
    </w:p>
    <w:p w14:paraId="6B42DE87" w14:textId="77777777" w:rsidR="00577B0E" w:rsidRPr="002F5634" w:rsidRDefault="002F563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>Irigaray</w:t>
      </w:r>
      <w:proofErr w:type="spellEnd"/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Luce. 1996. </w:t>
      </w:r>
      <w:proofErr w:type="gramStart"/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>“ I</w:t>
      </w:r>
      <w:proofErr w:type="gramEnd"/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love to You” In: </w:t>
      </w:r>
      <w:r w:rsidRPr="002F563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 Love to You</w:t>
      </w:r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>. New York: Routledge. 109-114</w:t>
      </w:r>
    </w:p>
    <w:p w14:paraId="6B42DE88" w14:textId="77777777" w:rsidR="00577B0E" w:rsidRPr="002F5634" w:rsidRDefault="002F5634">
      <w:pPr>
        <w:spacing w:before="240" w:after="240"/>
        <w:ind w:left="960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———. 2008. </w:t>
      </w:r>
      <w:r w:rsidRPr="002F563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Sharing the World: From Intimate to Global Relations</w:t>
      </w:r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>. London: Continuum.</w:t>
      </w:r>
    </w:p>
    <w:p w14:paraId="6B42DE89" w14:textId="77777777" w:rsidR="00577B0E" w:rsidRPr="002F5634" w:rsidRDefault="002F5634">
      <w:pPr>
        <w:spacing w:before="240" w:after="240"/>
        <w:ind w:left="960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———. 2013. </w:t>
      </w:r>
      <w:r w:rsidRPr="002F563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 the Beginning She Was</w:t>
      </w:r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>. London: Bloomsbury Academics.</w:t>
      </w:r>
    </w:p>
    <w:p w14:paraId="6B42DE8A" w14:textId="77777777" w:rsidR="00577B0E" w:rsidRDefault="002F5634">
      <w:pPr>
        <w:spacing w:before="240" w:after="240"/>
        <w:ind w:left="960" w:hanging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he"/>
        </w:rPr>
      </w:pPr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———. 2014. “Interview: Cultivating a Living Belonging.” </w:t>
      </w:r>
      <w:r w:rsidRPr="002F563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the British Society for Phenomenology</w:t>
      </w:r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46 (2): 109–16.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rtl/>
            <w:lang w:bidi="he"/>
          </w:rPr>
          <w:t>https://doi.org/10.1080/00071773.2014.963345</w:t>
        </w:r>
      </w:hyperlink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.</w:t>
      </w:r>
    </w:p>
    <w:p w14:paraId="6B1577CC" w14:textId="77777777" w:rsidR="007A4774" w:rsidRDefault="007A4774" w:rsidP="007A4774">
      <w:pPr>
        <w:bidi/>
        <w:spacing w:before="240" w:after="240"/>
        <w:jc w:val="both"/>
        <w:rPr>
          <w:rFonts w:ascii="Times New Roman" w:eastAsia="Times New Roman" w:hAnsi="Times New Roman" w:cs="Times New Roman"/>
          <w:bCs/>
          <w:sz w:val="26"/>
          <w:szCs w:val="26"/>
          <w:rtl/>
          <w:lang w:bidi="he"/>
        </w:rPr>
      </w:pPr>
    </w:p>
    <w:p w14:paraId="6B42DE8B" w14:textId="6341B6FA" w:rsidR="00577B0E" w:rsidRPr="007A4774" w:rsidRDefault="002F5634" w:rsidP="007A4774">
      <w:pPr>
        <w:bidi/>
        <w:spacing w:before="240" w:after="240"/>
        <w:jc w:val="both"/>
        <w:rPr>
          <w:rFonts w:ascii="Times New Roman" w:eastAsia="Times New Roman" w:hAnsi="Times New Roman" w:cs="Times New Roman"/>
          <w:bCs/>
          <w:sz w:val="26"/>
          <w:szCs w:val="26"/>
          <w:rtl/>
          <w:lang w:bidi="he"/>
        </w:rPr>
      </w:pPr>
      <w:r w:rsidRPr="007A4774">
        <w:rPr>
          <w:rFonts w:ascii="Times New Roman" w:eastAsia="Times New Roman" w:hAnsi="Times New Roman" w:cs="Times New Roman"/>
          <w:bCs/>
          <w:sz w:val="26"/>
          <w:szCs w:val="26"/>
          <w:rtl/>
          <w:lang w:bidi="he"/>
        </w:rPr>
        <w:t>ג</w:t>
      </w:r>
      <w:r w:rsidRPr="007A4774">
        <w:rPr>
          <w:rFonts w:ascii="Times New Roman" w:eastAsia="Times New Roman" w:hAnsi="Times New Roman" w:cs="Times New Roman"/>
          <w:bCs/>
          <w:sz w:val="26"/>
          <w:szCs w:val="26"/>
          <w:rtl/>
        </w:rPr>
        <w:t>'</w:t>
      </w:r>
      <w:proofErr w:type="spellStart"/>
      <w:r w:rsidRPr="007A4774">
        <w:rPr>
          <w:rFonts w:ascii="Times New Roman" w:eastAsia="Times New Roman" w:hAnsi="Times New Roman" w:cs="Times New Roman"/>
          <w:bCs/>
          <w:sz w:val="26"/>
          <w:szCs w:val="26"/>
          <w:rtl/>
          <w:lang w:bidi="he"/>
        </w:rPr>
        <w:t>ודית</w:t>
      </w:r>
      <w:proofErr w:type="spellEnd"/>
      <w:r w:rsidRPr="007A4774">
        <w:rPr>
          <w:rFonts w:ascii="Times New Roman" w:eastAsia="Times New Roman" w:hAnsi="Times New Roman" w:cs="Times New Roman"/>
          <w:bCs/>
          <w:sz w:val="26"/>
          <w:szCs w:val="26"/>
          <w:rtl/>
          <w:lang w:bidi="he"/>
        </w:rPr>
        <w:t xml:space="preserve"> </w:t>
      </w:r>
      <w:proofErr w:type="spellStart"/>
      <w:r w:rsidRPr="007A4774">
        <w:rPr>
          <w:rFonts w:ascii="Times New Roman" w:eastAsia="Times New Roman" w:hAnsi="Times New Roman" w:cs="Times New Roman"/>
          <w:bCs/>
          <w:sz w:val="26"/>
          <w:szCs w:val="26"/>
          <w:rtl/>
          <w:lang w:bidi="he"/>
        </w:rPr>
        <w:t>באטלר</w:t>
      </w:r>
      <w:proofErr w:type="spellEnd"/>
      <w:r w:rsidRPr="007A4774">
        <w:rPr>
          <w:rFonts w:ascii="Times New Roman" w:eastAsia="Times New Roman" w:hAnsi="Times New Roman" w:cs="Times New Roman"/>
          <w:bCs/>
          <w:sz w:val="26"/>
          <w:szCs w:val="26"/>
          <w:rtl/>
        </w:rPr>
        <w:t xml:space="preserve">: </w:t>
      </w:r>
      <w:r w:rsidRPr="007A4774">
        <w:rPr>
          <w:rFonts w:ascii="Times New Roman" w:eastAsia="Times New Roman" w:hAnsi="Times New Roman" w:cs="Times New Roman"/>
          <w:bCs/>
          <w:sz w:val="26"/>
          <w:szCs w:val="26"/>
          <w:rtl/>
          <w:lang w:bidi="he"/>
        </w:rPr>
        <w:t>חברה מבוססת פגיעות</w:t>
      </w:r>
    </w:p>
    <w:p w14:paraId="6B42DE8C" w14:textId="77777777" w:rsidR="00577B0E" w:rsidRPr="002F5634" w:rsidRDefault="002F563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Butler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Judith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. </w:t>
      </w:r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2001. “Giving an Account of Oneself.” </w:t>
      </w:r>
      <w:r w:rsidRPr="002F563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Diacritics</w:t>
      </w:r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31 (4): 22–40. </w:t>
      </w:r>
      <w:hyperlink r:id="rId5">
        <w:r w:rsidRPr="002F563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https://doi.org/10.1353/dia.2004.0002</w:t>
        </w:r>
      </w:hyperlink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B42DE8D" w14:textId="77777777" w:rsidR="00577B0E" w:rsidRPr="002F5634" w:rsidRDefault="002F563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———. 2016. “Rethinking Vulnerability and Resistance.” In </w:t>
      </w:r>
      <w:r w:rsidRPr="002F563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Vulnerability in Resistance</w:t>
      </w:r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edited by Judith Butler, Zeynep </w:t>
      </w:r>
      <w:proofErr w:type="spellStart"/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>Gambetti</w:t>
      </w:r>
      <w:proofErr w:type="spellEnd"/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Leticia </w:t>
      </w:r>
      <w:proofErr w:type="spellStart"/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>Sabsay</w:t>
      </w:r>
      <w:proofErr w:type="spellEnd"/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>, 12–27. Durham, NC: Duke University Press.</w:t>
      </w:r>
    </w:p>
    <w:p w14:paraId="6B42DE8E" w14:textId="77777777" w:rsidR="00577B0E" w:rsidRPr="002F5634" w:rsidRDefault="002F563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>Loizidou</w:t>
      </w:r>
      <w:proofErr w:type="spellEnd"/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Elena. 2016. “Dreams and the Political Subject.” In </w:t>
      </w:r>
      <w:r w:rsidRPr="002F563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Vulnerability in Resistance</w:t>
      </w:r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edited by Judith Butler, Zeynep </w:t>
      </w:r>
      <w:proofErr w:type="spellStart"/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>Gambetti</w:t>
      </w:r>
      <w:proofErr w:type="spellEnd"/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Leticia </w:t>
      </w:r>
      <w:proofErr w:type="spellStart"/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>Sabsay</w:t>
      </w:r>
      <w:proofErr w:type="spellEnd"/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>, 122–43. Durham, NC: Duke university press. https://doi.org/10.1215/9780822373490-007.</w:t>
      </w:r>
    </w:p>
    <w:p w14:paraId="6B42DE8F" w14:textId="77777777" w:rsidR="00577B0E" w:rsidRDefault="002F563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Parker, Emily Anne. 2017. “Precarity and Elemental Difference: On Butler’s Re-Writing of Irigarayan Difference.”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Political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Theory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45 (3): 319–41. </w:t>
      </w:r>
    </w:p>
    <w:p w14:paraId="44358CA4" w14:textId="77777777" w:rsidR="00CC7641" w:rsidRDefault="00CC7641" w:rsidP="007A4774">
      <w:pPr>
        <w:bidi/>
        <w:spacing w:before="240" w:after="240"/>
        <w:rPr>
          <w:rFonts w:ascii="Times New Roman" w:eastAsia="Times New Roman" w:hAnsi="Times New Roman" w:cs="Times New Roman"/>
          <w:bCs/>
          <w:sz w:val="26"/>
          <w:szCs w:val="26"/>
          <w:rtl/>
          <w:lang w:bidi="he"/>
        </w:rPr>
      </w:pPr>
    </w:p>
    <w:p w14:paraId="5561496B" w14:textId="77777777" w:rsidR="00CC7641" w:rsidRDefault="00CC7641" w:rsidP="00CC7641">
      <w:pPr>
        <w:bidi/>
        <w:spacing w:before="240" w:after="240"/>
        <w:rPr>
          <w:rFonts w:ascii="Times New Roman" w:eastAsia="Times New Roman" w:hAnsi="Times New Roman" w:cs="Times New Roman"/>
          <w:bCs/>
          <w:sz w:val="26"/>
          <w:szCs w:val="26"/>
          <w:rtl/>
          <w:lang w:bidi="he"/>
        </w:rPr>
      </w:pPr>
    </w:p>
    <w:p w14:paraId="6B42DE92" w14:textId="77777777" w:rsidR="00577B0E" w:rsidRPr="007A4774" w:rsidRDefault="002F5634" w:rsidP="00CC7641">
      <w:pPr>
        <w:bidi/>
        <w:spacing w:before="240" w:after="240"/>
        <w:rPr>
          <w:rFonts w:ascii="Times New Roman" w:eastAsia="Times New Roman" w:hAnsi="Times New Roman" w:cs="Times New Roman"/>
          <w:bCs/>
          <w:sz w:val="26"/>
          <w:szCs w:val="26"/>
          <w:rtl/>
          <w:lang w:bidi="he"/>
        </w:rPr>
      </w:pPr>
      <w:r w:rsidRPr="007A4774">
        <w:rPr>
          <w:rFonts w:ascii="Times New Roman" w:eastAsia="Times New Roman" w:hAnsi="Times New Roman" w:cs="Times New Roman"/>
          <w:bCs/>
          <w:sz w:val="26"/>
          <w:szCs w:val="26"/>
          <w:rtl/>
          <w:lang w:bidi="he"/>
        </w:rPr>
        <w:t>רשות</w:t>
      </w:r>
    </w:p>
    <w:p w14:paraId="3151D187" w14:textId="77777777" w:rsidR="00BA3B01" w:rsidRPr="00BA3B01" w:rsidRDefault="00BA3B01" w:rsidP="00BA3B0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 w:bidi="he"/>
        </w:rPr>
      </w:pPr>
      <w:r w:rsidRPr="00BA3B01">
        <w:rPr>
          <w:rFonts w:ascii="Times New Roman" w:eastAsia="Times New Roman" w:hAnsi="Times New Roman" w:cs="Times New Roman"/>
          <w:sz w:val="24"/>
          <w:szCs w:val="24"/>
          <w:lang w:val="en-US" w:bidi="he"/>
        </w:rPr>
        <w:t xml:space="preserve">Kellogg, Catherine. 2017. “‘You Be My Body for Me.’ Dispossession in Two Valences.” </w:t>
      </w:r>
      <w:r w:rsidRPr="00BA3B01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he"/>
        </w:rPr>
        <w:t>Philosophy &amp; Social Criticism</w:t>
      </w:r>
      <w:r w:rsidRPr="00BA3B01">
        <w:rPr>
          <w:rFonts w:ascii="Times New Roman" w:eastAsia="Times New Roman" w:hAnsi="Times New Roman" w:cs="Times New Roman"/>
          <w:sz w:val="24"/>
          <w:szCs w:val="24"/>
          <w:lang w:val="en-US" w:bidi="he"/>
        </w:rPr>
        <w:t xml:space="preserve"> 43 (1): 83–95. </w:t>
      </w:r>
      <w:hyperlink r:id="rId6" w:history="1">
        <w:r w:rsidRPr="00BA3B0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bidi="he"/>
          </w:rPr>
          <w:t>https://doi.org/10.1177/0191453716651667</w:t>
        </w:r>
      </w:hyperlink>
      <w:r w:rsidRPr="00BA3B01">
        <w:rPr>
          <w:rFonts w:ascii="Times New Roman" w:eastAsia="Times New Roman" w:hAnsi="Times New Roman" w:cs="Times New Roman"/>
          <w:sz w:val="24"/>
          <w:szCs w:val="24"/>
          <w:lang w:val="en-US" w:bidi="he"/>
        </w:rPr>
        <w:t>.</w:t>
      </w:r>
    </w:p>
    <w:p w14:paraId="6B42DE94" w14:textId="6D845A7B" w:rsidR="00577B0E" w:rsidRPr="002F5634" w:rsidRDefault="002F5634" w:rsidP="00BA3B0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Kelz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Rosine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2016. </w:t>
      </w:r>
      <w:r w:rsidRPr="002F563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Non-Sovereign Self, Responsibility, and Otherness : Hannah Arendt, Judith Butler, and Stanley Cavell on Moral Philosophy and Political Agency</w:t>
      </w:r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>. New York: Palgrave Macmillan.</w:t>
      </w:r>
    </w:p>
    <w:p w14:paraId="6B42DE95" w14:textId="77777777" w:rsidR="00577B0E" w:rsidRPr="002F5634" w:rsidRDefault="002F563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Thiem</w:t>
      </w:r>
      <w:proofErr w:type="spellEnd"/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Annika. 2008. </w:t>
      </w:r>
      <w:r w:rsidRPr="002F563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Unbecoming Subjects: Judith Butler, Moral Philosophy, and Critical Responsibility</w:t>
      </w:r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>. Fordham University Press.</w:t>
      </w:r>
    </w:p>
    <w:p w14:paraId="6B42DE96" w14:textId="77777777" w:rsidR="00577B0E" w:rsidRDefault="002F563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proofErr w:type="spellStart"/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>Velicu</w:t>
      </w:r>
      <w:proofErr w:type="spellEnd"/>
      <w:r w:rsidRPr="002F5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Irina, and Gustavo García-López. 2018. “Thinking the Commons through Ostrom and Butler: Boundedness and Vulnerability.”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Theory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Culture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Society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35 (6): 55–73. https://doi.org/10.1177/0263276418757315.</w:t>
      </w:r>
    </w:p>
    <w:p w14:paraId="031EFF9E" w14:textId="77777777" w:rsidR="00CC7641" w:rsidRDefault="00CC7641">
      <w:pPr>
        <w:pBdr>
          <w:top w:val="nil"/>
          <w:left w:val="nil"/>
          <w:bottom w:val="nil"/>
          <w:right w:val="nil"/>
          <w:between w:val="nil"/>
        </w:pBdr>
        <w:bidi/>
        <w:spacing w:before="200"/>
        <w:ind w:right="405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57410A04" w14:textId="77777777" w:rsidR="00CC7641" w:rsidRDefault="00CC7641" w:rsidP="00CC7641">
      <w:pPr>
        <w:pBdr>
          <w:top w:val="nil"/>
          <w:left w:val="nil"/>
          <w:bottom w:val="nil"/>
          <w:right w:val="nil"/>
          <w:between w:val="nil"/>
        </w:pBdr>
        <w:bidi/>
        <w:spacing w:before="200"/>
        <w:ind w:right="405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6B42DE98" w14:textId="104030E4" w:rsidR="00577B0E" w:rsidRDefault="00CC7641" w:rsidP="00CC7641">
      <w:pPr>
        <w:pBdr>
          <w:top w:val="nil"/>
          <w:left w:val="nil"/>
          <w:bottom w:val="nil"/>
          <w:right w:val="nil"/>
          <w:between w:val="nil"/>
        </w:pBdr>
        <w:bidi/>
        <w:spacing w:before="200"/>
        <w:ind w:right="4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he"/>
        </w:rPr>
      </w:pPr>
      <w:r w:rsidRPr="00CC764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he"/>
        </w:rPr>
        <w:t>ז. שם הקורס באנגלית:</w:t>
      </w:r>
    </w:p>
    <w:p w14:paraId="769123B1" w14:textId="56CA7F86" w:rsidR="00CC7641" w:rsidRPr="00CC7641" w:rsidRDefault="00CC7641" w:rsidP="00CC7641">
      <w:pPr>
        <w:pBdr>
          <w:top w:val="nil"/>
          <w:left w:val="nil"/>
          <w:bottom w:val="nil"/>
          <w:right w:val="nil"/>
          <w:between w:val="nil"/>
        </w:pBdr>
        <w:bidi/>
        <w:spacing w:before="200"/>
        <w:ind w:right="405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bidi="he"/>
        </w:rPr>
      </w:pPr>
      <w:r w:rsidRPr="00CC7641">
        <w:rPr>
          <w:rFonts w:ascii="Times New Roman" w:eastAsia="Times New Roman" w:hAnsi="Times New Roman" w:cs="Times New Roman"/>
          <w:sz w:val="28"/>
          <w:szCs w:val="28"/>
          <w:lang w:val="en-US" w:bidi="he"/>
        </w:rPr>
        <w:t>Towards a different world - feminist, ethics and social vision</w:t>
      </w:r>
    </w:p>
    <w:sectPr w:rsidR="00CC7641" w:rsidRPr="00CC7641" w:rsidSect="00B9302B">
      <w:pgSz w:w="12240" w:h="15840"/>
      <w:pgMar w:top="1361" w:right="1361" w:bottom="1247" w:left="130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sine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0E"/>
    <w:rsid w:val="002F5634"/>
    <w:rsid w:val="004D4B9E"/>
    <w:rsid w:val="00577B0E"/>
    <w:rsid w:val="007A4774"/>
    <w:rsid w:val="00A558F8"/>
    <w:rsid w:val="00B9302B"/>
    <w:rsid w:val="00BA3B01"/>
    <w:rsid w:val="00CC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DE55"/>
  <w15:docId w15:val="{C63C5084-6227-43E7-A842-AF5E14EE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a0"/>
    <w:uiPriority w:val="99"/>
    <w:unhideWhenUsed/>
    <w:rsid w:val="00BA3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doi.org%2F10.1177%2F0191453716651667&amp;data=02%7C01%7COrit.Kandel%40biu.ac.il%7C944313eb5fc94d42344c08d7f4cf2776%7C61234e145b874b67ac198feaa8ba8f12%7C1%7C0%7C637247042874476131&amp;sdata=cMhAh9b2AsczaNo3AnhgJbFqlAj3HBXQusGfAMxALVQ%3D&amp;reserved=0" TargetMode="External"/><Relationship Id="rId5" Type="http://schemas.openxmlformats.org/officeDocument/2006/relationships/hyperlink" Target="https://doi.org/10.1353/dia.2004.0002" TargetMode="External"/><Relationship Id="rId4" Type="http://schemas.openxmlformats.org/officeDocument/2006/relationships/hyperlink" Target="https://doi.org/10.1080/00071773.2014.963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Orit Kandel</dc:creator>
  <cp:lastModifiedBy>אורית קנדל</cp:lastModifiedBy>
  <cp:revision>2</cp:revision>
  <dcterms:created xsi:type="dcterms:W3CDTF">2020-10-05T13:04:00Z</dcterms:created>
  <dcterms:modified xsi:type="dcterms:W3CDTF">2020-10-05T13:04:00Z</dcterms:modified>
</cp:coreProperties>
</file>