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E27B" w14:textId="77777777" w:rsidR="00D10CBB" w:rsidRDefault="00D10CBB" w:rsidP="00D10CBB">
      <w:pPr>
        <w:pStyle w:val="1"/>
        <w:spacing w:line="240" w:lineRule="auto"/>
        <w:jc w:val="both"/>
        <w:rPr>
          <w:rFonts w:cs="David"/>
          <w:rtl/>
        </w:rPr>
      </w:pPr>
      <w:bookmarkStart w:id="0" w:name="_Hlk526413829"/>
    </w:p>
    <w:p w14:paraId="7CF18A21" w14:textId="77777777" w:rsidR="00D10CBB" w:rsidRPr="00D10CBB" w:rsidRDefault="00D10CBB" w:rsidP="00D10CBB">
      <w:pPr>
        <w:spacing w:before="0" w:line="360" w:lineRule="auto"/>
        <w:ind w:left="4904"/>
        <w:jc w:val="right"/>
        <w:rPr>
          <w:rFonts w:ascii="Arial" w:hAnsi="Arial" w:cs="Tahoma"/>
          <w:bCs/>
          <w:color w:val="548DD4"/>
          <w:rtl/>
        </w:rPr>
      </w:pPr>
      <w:r w:rsidRPr="00D10CBB">
        <w:rPr>
          <w:rFonts w:ascii="Arial" w:hAnsi="Arial" w:cs="Tahoma"/>
          <w:bCs/>
          <w:color w:val="548DD4"/>
          <w:rtl/>
        </w:rPr>
        <w:t xml:space="preserve">תאריך עדכון: </w:t>
      </w:r>
      <w:r w:rsidRPr="00D10CBB">
        <w:rPr>
          <w:rFonts w:ascii="Arial" w:hAnsi="Arial" w:cs="Tahoma" w:hint="cs"/>
          <w:bCs/>
          <w:color w:val="548DD4"/>
          <w:u w:val="single"/>
          <w:rtl/>
        </w:rPr>
        <w:t>מרץ 2020</w:t>
      </w:r>
    </w:p>
    <w:p w14:paraId="594D21D4" w14:textId="77777777" w:rsidR="00D10CBB" w:rsidRPr="00D10CBB" w:rsidRDefault="00D10CBB" w:rsidP="00D10CBB">
      <w:pPr>
        <w:spacing w:before="0" w:line="360" w:lineRule="auto"/>
        <w:ind w:left="5040"/>
        <w:jc w:val="left"/>
        <w:rPr>
          <w:rFonts w:ascii="Arial" w:hAnsi="Arial" w:cs="Tahoma"/>
          <w:bCs/>
          <w:color w:val="548DD4"/>
          <w:sz w:val="36"/>
          <w:szCs w:val="36"/>
          <w:rtl/>
        </w:rPr>
      </w:pPr>
    </w:p>
    <w:p w14:paraId="7F179602" w14:textId="1514026D" w:rsidR="00D10CBB" w:rsidRPr="00D10CBB" w:rsidRDefault="00D10CBB" w:rsidP="00D10CBB">
      <w:pPr>
        <w:spacing w:before="0" w:line="360" w:lineRule="auto"/>
        <w:jc w:val="center"/>
        <w:rPr>
          <w:rFonts w:ascii="Tahoma" w:hAnsi="Tahoma" w:cs="Tahoma"/>
          <w:bCs/>
          <w:color w:val="548DD4"/>
          <w:sz w:val="32"/>
          <w:szCs w:val="32"/>
          <w:rtl/>
        </w:rPr>
      </w:pPr>
      <w:r>
        <w:rPr>
          <w:rFonts w:ascii="Tahoma" w:hAnsi="Tahoma" w:cs="Tahoma" w:hint="cs"/>
          <w:bCs/>
          <w:color w:val="548DD4"/>
          <w:sz w:val="32"/>
          <w:szCs w:val="32"/>
          <w:rtl/>
        </w:rPr>
        <w:t>מגדר וחינוך פורמלי ובלתי פורמלי</w:t>
      </w:r>
    </w:p>
    <w:p w14:paraId="4C076D80" w14:textId="77777777" w:rsidR="00D10CBB" w:rsidRDefault="00D10CBB" w:rsidP="00D10CBB">
      <w:pPr>
        <w:spacing w:before="0" w:line="360" w:lineRule="auto"/>
        <w:jc w:val="center"/>
        <w:rPr>
          <w:rFonts w:ascii="Tahoma" w:hAnsi="Tahoma" w:cs="Tahoma"/>
          <w:bCs/>
          <w:color w:val="548DD4"/>
          <w:sz w:val="32"/>
          <w:szCs w:val="32"/>
          <w:rtl/>
        </w:rPr>
      </w:pPr>
      <w:r w:rsidRPr="00D10CBB">
        <w:rPr>
          <w:rFonts w:ascii="Tahoma" w:hAnsi="Tahoma" w:cs="Tahoma"/>
          <w:bCs/>
          <w:color w:val="548DD4"/>
          <w:sz w:val="32"/>
          <w:szCs w:val="32"/>
        </w:rPr>
        <w:t>Formal and Informal Education and Gender</w:t>
      </w:r>
    </w:p>
    <w:p w14:paraId="035F575B" w14:textId="48356E28" w:rsidR="00D10CBB" w:rsidRPr="00D10CBB" w:rsidRDefault="00D10CBB" w:rsidP="00D10CBB">
      <w:pPr>
        <w:spacing w:before="0" w:line="360" w:lineRule="auto"/>
        <w:jc w:val="center"/>
        <w:rPr>
          <w:rFonts w:ascii="Tahoma" w:hAnsi="Tahoma" w:cs="Tahoma"/>
          <w:bCs/>
          <w:color w:val="548DD4"/>
          <w:sz w:val="32"/>
          <w:szCs w:val="32"/>
          <w:rtl/>
        </w:rPr>
      </w:pPr>
      <w:r w:rsidRPr="00D10CBB">
        <w:rPr>
          <w:rFonts w:ascii="Tahoma" w:hAnsi="Tahoma" w:cs="Tahoma"/>
          <w:bCs/>
          <w:color w:val="548DD4"/>
          <w:sz w:val="32"/>
          <w:szCs w:val="32"/>
          <w:rtl/>
        </w:rPr>
        <w:t xml:space="preserve">מס קורס: </w:t>
      </w:r>
      <w:r>
        <w:rPr>
          <w:rFonts w:ascii="Tahoma" w:hAnsi="Tahoma" w:cs="Tahoma" w:hint="cs"/>
          <w:bCs/>
          <w:color w:val="548DD4"/>
          <w:sz w:val="32"/>
          <w:szCs w:val="32"/>
          <w:rtl/>
        </w:rPr>
        <w:t>27-952-01</w:t>
      </w:r>
    </w:p>
    <w:p w14:paraId="7BA6EF0F" w14:textId="6FDA299B" w:rsidR="00D10CBB" w:rsidRPr="00D10CBB" w:rsidRDefault="00D10CBB" w:rsidP="00D10CBB">
      <w:pPr>
        <w:spacing w:before="0" w:line="360" w:lineRule="auto"/>
        <w:jc w:val="center"/>
        <w:rPr>
          <w:rFonts w:ascii="Tahoma" w:hAnsi="Tahoma" w:cs="Tahoma"/>
          <w:bCs/>
          <w:color w:val="548DD4"/>
          <w:sz w:val="32"/>
          <w:szCs w:val="32"/>
          <w:rtl/>
        </w:rPr>
      </w:pPr>
      <w:r w:rsidRPr="00D10CBB">
        <w:rPr>
          <w:rFonts w:ascii="Tahoma" w:hAnsi="Tahoma" w:cs="Tahoma" w:hint="cs"/>
          <w:bCs/>
          <w:color w:val="548DD4"/>
          <w:sz w:val="32"/>
          <w:szCs w:val="32"/>
          <w:rtl/>
        </w:rPr>
        <w:t xml:space="preserve">שם המרצה: </w:t>
      </w:r>
      <w:r w:rsidRPr="00D10CBB">
        <w:rPr>
          <w:rFonts w:ascii="Tahoma" w:hAnsi="Tahoma" w:cs="Tahoma"/>
          <w:bCs/>
          <w:color w:val="548DD4"/>
          <w:sz w:val="32"/>
          <w:szCs w:val="32"/>
          <w:rtl/>
        </w:rPr>
        <w:t xml:space="preserve">ד"ר </w:t>
      </w:r>
      <w:r>
        <w:rPr>
          <w:rFonts w:ascii="Tahoma" w:hAnsi="Tahoma" w:cs="Tahoma" w:hint="cs"/>
          <w:bCs/>
          <w:color w:val="548DD4"/>
          <w:sz w:val="32"/>
          <w:szCs w:val="32"/>
          <w:rtl/>
        </w:rPr>
        <w:t>עליזה פרנקל</w:t>
      </w:r>
    </w:p>
    <w:p w14:paraId="4E2E0AB5" w14:textId="77777777" w:rsidR="00D10CBB" w:rsidRPr="00D10CBB" w:rsidRDefault="00D10CBB" w:rsidP="00D10CBB">
      <w:pPr>
        <w:spacing w:before="0" w:line="360" w:lineRule="auto"/>
        <w:jc w:val="center"/>
        <w:rPr>
          <w:rFonts w:ascii="Arial" w:hAnsi="Arial" w:cs="Arial"/>
          <w:color w:val="548DD4"/>
          <w:sz w:val="28"/>
          <w:szCs w:val="28"/>
          <w:rtl/>
        </w:rPr>
      </w:pPr>
      <w:r w:rsidRPr="00D10CBB">
        <w:rPr>
          <w:rFonts w:ascii="Arial" w:hAnsi="Arial" w:cs="Arial"/>
          <w:b/>
          <w:bCs/>
          <w:color w:val="548DD4"/>
          <w:sz w:val="28"/>
          <w:szCs w:val="28"/>
          <w:rtl/>
        </w:rPr>
        <w:t>סוג הקורס: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>שיעור</w:t>
      </w:r>
    </w:p>
    <w:p w14:paraId="575DB01F" w14:textId="77777777" w:rsidR="00D10CBB" w:rsidRPr="00D10CBB" w:rsidRDefault="00D10CBB" w:rsidP="00D10CBB">
      <w:pPr>
        <w:spacing w:before="0" w:line="360" w:lineRule="auto"/>
        <w:jc w:val="left"/>
        <w:rPr>
          <w:rFonts w:ascii="Arial" w:hAnsi="Arial" w:cs="Arial"/>
          <w:color w:val="548DD4"/>
          <w:sz w:val="28"/>
          <w:szCs w:val="28"/>
        </w:rPr>
      </w:pPr>
      <w:r w:rsidRPr="00D10CBB">
        <w:rPr>
          <w:rFonts w:ascii="Arial" w:hAnsi="Arial" w:cs="Arial"/>
          <w:b/>
          <w:bCs/>
          <w:color w:val="548DD4"/>
          <w:sz w:val="28"/>
          <w:szCs w:val="28"/>
          <w:rtl/>
        </w:rPr>
        <w:t>שנת לימודים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>: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 xml:space="preserve"> תשפ"א   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    </w:t>
      </w:r>
      <w:r w:rsidRPr="00D10CBB">
        <w:rPr>
          <w:rFonts w:ascii="Arial" w:hAnsi="Arial" w:cs="Arial"/>
          <w:b/>
          <w:bCs/>
          <w:color w:val="548DD4"/>
          <w:sz w:val="28"/>
          <w:szCs w:val="28"/>
          <w:rtl/>
        </w:rPr>
        <w:t>סמסטר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>: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 xml:space="preserve"> 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>א'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                  </w:t>
      </w:r>
      <w:r w:rsidRPr="00D10CBB">
        <w:rPr>
          <w:rFonts w:ascii="Arial" w:hAnsi="Arial" w:cs="Arial"/>
          <w:b/>
          <w:bCs/>
          <w:color w:val="548DD4"/>
          <w:sz w:val="28"/>
          <w:szCs w:val="28"/>
          <w:rtl/>
        </w:rPr>
        <w:t>היקף שעות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:  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 xml:space="preserve">1 </w:t>
      </w:r>
      <w:proofErr w:type="spellStart"/>
      <w:r w:rsidRPr="00D10CBB">
        <w:rPr>
          <w:rFonts w:ascii="Arial" w:hAnsi="Arial" w:cs="Arial" w:hint="cs"/>
          <w:color w:val="548DD4"/>
          <w:sz w:val="28"/>
          <w:szCs w:val="28"/>
          <w:rtl/>
        </w:rPr>
        <w:t>ש"ש</w:t>
      </w:r>
      <w:proofErr w:type="spellEnd"/>
    </w:p>
    <w:p w14:paraId="403A8475" w14:textId="77777777" w:rsidR="00D10CBB" w:rsidRPr="00D10CBB" w:rsidRDefault="00D10CBB" w:rsidP="00D10CBB">
      <w:pPr>
        <w:spacing w:before="0"/>
        <w:jc w:val="left"/>
        <w:rPr>
          <w:rFonts w:ascii="Arial" w:hAnsi="Arial" w:cs="Arial"/>
          <w:color w:val="548DD4"/>
          <w:sz w:val="28"/>
          <w:szCs w:val="28"/>
        </w:rPr>
      </w:pPr>
      <w:r w:rsidRPr="00D10CBB">
        <w:rPr>
          <w:rFonts w:ascii="Arial" w:hAnsi="Arial" w:cs="Arial"/>
          <w:b/>
          <w:bCs/>
          <w:color w:val="548DD4"/>
          <w:sz w:val="28"/>
          <w:szCs w:val="28"/>
          <w:rtl/>
        </w:rPr>
        <w:t>אתר הקורס באינטרנט: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Pr="00D10CBB">
        <w:rPr>
          <w:rFonts w:ascii="Arial" w:hAnsi="Arial" w:cs="Arial" w:hint="cs"/>
          <w:color w:val="548DD4"/>
          <w:sz w:val="28"/>
          <w:szCs w:val="28"/>
          <w:rtl/>
        </w:rPr>
        <w:t>מודל</w:t>
      </w:r>
      <w:r w:rsidRPr="00D10CBB">
        <w:rPr>
          <w:rFonts w:ascii="Arial" w:hAnsi="Arial" w:cs="Arial"/>
          <w:color w:val="548DD4"/>
          <w:sz w:val="28"/>
          <w:szCs w:val="28"/>
          <w:rtl/>
        </w:rPr>
        <w:t xml:space="preserve">       </w:t>
      </w:r>
    </w:p>
    <w:p w14:paraId="7ACC6141" w14:textId="77777777" w:rsidR="00D10CBB" w:rsidRDefault="00D10CBB" w:rsidP="003722D9">
      <w:pPr>
        <w:pStyle w:val="1"/>
        <w:spacing w:line="240" w:lineRule="auto"/>
        <w:rPr>
          <w:rFonts w:cs="David"/>
          <w:rtl/>
        </w:rPr>
      </w:pPr>
    </w:p>
    <w:p w14:paraId="78506474" w14:textId="77777777" w:rsidR="00D10CBB" w:rsidRDefault="00D10CBB" w:rsidP="00D10CBB">
      <w:pPr>
        <w:pStyle w:val="1"/>
        <w:spacing w:line="240" w:lineRule="auto"/>
        <w:jc w:val="both"/>
        <w:rPr>
          <w:rFonts w:cs="David"/>
          <w:rtl/>
        </w:rPr>
      </w:pPr>
    </w:p>
    <w:bookmarkEnd w:id="0"/>
    <w:p w14:paraId="5E517D33" w14:textId="27472838" w:rsidR="006B2809" w:rsidRPr="00D10CBB" w:rsidRDefault="006B2809" w:rsidP="00D10CBB">
      <w:pPr>
        <w:pStyle w:val="ab"/>
        <w:numPr>
          <w:ilvl w:val="0"/>
          <w:numId w:val="5"/>
        </w:numPr>
        <w:rPr>
          <w:rFonts w:asciiTheme="majorBidi" w:hAnsiTheme="majorBidi" w:cstheme="majorBidi"/>
          <w:bCs/>
          <w:sz w:val="28"/>
          <w:szCs w:val="28"/>
          <w:rtl/>
        </w:rPr>
      </w:pPr>
      <w:r w:rsidRPr="00D10CBB">
        <w:rPr>
          <w:rFonts w:asciiTheme="majorBidi" w:hAnsiTheme="majorBidi" w:cstheme="majorBidi"/>
          <w:bCs/>
          <w:sz w:val="28"/>
          <w:szCs w:val="28"/>
          <w:rtl/>
        </w:rPr>
        <w:t xml:space="preserve">מטרות הקורס </w:t>
      </w:r>
      <w:r w:rsidR="004E46AD" w:rsidRPr="00D10CBB">
        <w:rPr>
          <w:rFonts w:asciiTheme="majorBidi" w:hAnsiTheme="majorBidi" w:cstheme="majorBidi"/>
          <w:bCs/>
          <w:sz w:val="28"/>
          <w:szCs w:val="28"/>
          <w:rtl/>
        </w:rPr>
        <w:t>ותוצרי למידה</w:t>
      </w:r>
      <w:r w:rsidR="00D10CBB">
        <w:rPr>
          <w:rFonts w:asciiTheme="majorBidi" w:hAnsiTheme="majorBidi" w:cstheme="majorBidi" w:hint="cs"/>
          <w:bCs/>
          <w:sz w:val="28"/>
          <w:szCs w:val="28"/>
          <w:rtl/>
        </w:rPr>
        <w:t>:</w:t>
      </w:r>
    </w:p>
    <w:p w14:paraId="773CF680" w14:textId="77777777" w:rsidR="006B2809" w:rsidRPr="00D10CBB" w:rsidRDefault="006B2809" w:rsidP="00D10CBB">
      <w:pPr>
        <w:spacing w:line="276" w:lineRule="auto"/>
        <w:ind w:left="397"/>
        <w:rPr>
          <w:rFonts w:asciiTheme="majorBidi" w:hAnsiTheme="majorBidi" w:cstheme="majorBidi"/>
          <w:b/>
          <w:sz w:val="26"/>
          <w:szCs w:val="26"/>
          <w:rtl/>
        </w:rPr>
      </w:pP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מטרת הקורס היא </w:t>
      </w:r>
      <w:r w:rsidR="00C96FA3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ניתוח הפוליטיקה המגדרית של מערכת החינוך בישראל  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באמצעות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>ז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>י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>הו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>י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ואפי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>ון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 ההצלבות המתקיימות בין מגדר לחינוך הפורמלי והבלתי פורמלי, בממדים גלויים, סמויים ומופנמים. ההנחה היא ש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הצלבות אלה מעניקות משמעות וכוח למבנה החברתי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  <w:r w:rsidR="00D63AB3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ומחזקות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את אי השוויון המגדרי. במילים אחרות, נבחן כיצד המגדר מוטמע באידיאולוגיות החינוכיות ומבנה </w:t>
      </w:r>
      <w:r w:rsidR="00645883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את התפיסות החינוכיות,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>התהלי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>כים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החינוכי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>ים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ואת יחסי הגומלין המתקיימים בין השותפים/</w:t>
      </w:r>
      <w:proofErr w:type="spellStart"/>
      <w:r w:rsidRPr="00D10CBB">
        <w:rPr>
          <w:rFonts w:asciiTheme="majorBidi" w:hAnsiTheme="majorBidi" w:cstheme="majorBidi"/>
          <w:b/>
          <w:sz w:val="26"/>
          <w:szCs w:val="26"/>
          <w:rtl/>
        </w:rPr>
        <w:t>ות</w:t>
      </w:r>
      <w:proofErr w:type="spellEnd"/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לו</w:t>
      </w:r>
      <w:r w:rsidR="00631E27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, </w:t>
      </w:r>
      <w:r w:rsidR="00645883" w:rsidRPr="00D10CBB">
        <w:rPr>
          <w:rFonts w:asciiTheme="majorBidi" w:hAnsiTheme="majorBidi" w:cstheme="majorBidi"/>
          <w:b/>
          <w:sz w:val="26"/>
          <w:szCs w:val="26"/>
          <w:rtl/>
        </w:rPr>
        <w:t>במטרה להעניק לסטודנטיות כלים להטמעת השוויון המגדרי בתהליכים חינוכיים.</w:t>
      </w:r>
    </w:p>
    <w:p w14:paraId="78C978B1" w14:textId="77777777" w:rsidR="006B2809" w:rsidRPr="00D10CBB" w:rsidRDefault="006B2809" w:rsidP="00DC7FCA">
      <w:pPr>
        <w:ind w:left="26"/>
        <w:rPr>
          <w:rFonts w:asciiTheme="majorBidi" w:hAnsiTheme="majorBidi" w:cstheme="majorBidi"/>
          <w:bCs/>
          <w:rtl/>
        </w:rPr>
      </w:pPr>
    </w:p>
    <w:p w14:paraId="64282997" w14:textId="695B7D5D" w:rsidR="008707B9" w:rsidRPr="00D10CBB" w:rsidRDefault="006B2809" w:rsidP="00D10CBB">
      <w:pPr>
        <w:pStyle w:val="ab"/>
        <w:numPr>
          <w:ilvl w:val="0"/>
          <w:numId w:val="5"/>
        </w:numPr>
        <w:rPr>
          <w:rFonts w:asciiTheme="majorBidi" w:hAnsiTheme="majorBidi" w:cstheme="majorBidi"/>
          <w:bCs/>
          <w:sz w:val="28"/>
          <w:szCs w:val="28"/>
        </w:rPr>
      </w:pPr>
      <w:r w:rsidRPr="00D10CBB">
        <w:rPr>
          <w:rFonts w:asciiTheme="majorBidi" w:hAnsiTheme="majorBidi" w:cstheme="majorBidi"/>
          <w:bCs/>
          <w:sz w:val="28"/>
          <w:szCs w:val="28"/>
          <w:rtl/>
        </w:rPr>
        <w:t xml:space="preserve">תוכן הקורס: </w:t>
      </w:r>
    </w:p>
    <w:p w14:paraId="73D07978" w14:textId="77777777" w:rsidR="006B2809" w:rsidRPr="00D10CBB" w:rsidRDefault="006B2809" w:rsidP="00DC7FCA">
      <w:pPr>
        <w:pStyle w:val="ab"/>
        <w:rPr>
          <w:rFonts w:asciiTheme="majorBidi" w:hAnsiTheme="majorBidi" w:cstheme="majorBidi"/>
          <w:bCs/>
          <w:rtl/>
        </w:rPr>
      </w:pPr>
    </w:p>
    <w:p w14:paraId="1FD0D4DA" w14:textId="77777777" w:rsidR="00DC7FCA" w:rsidRPr="00D10CBB" w:rsidRDefault="008707B9" w:rsidP="00DC7FCA">
      <w:pPr>
        <w:ind w:left="397"/>
        <w:rPr>
          <w:rFonts w:asciiTheme="majorBidi" w:hAnsiTheme="majorBidi" w:cstheme="majorBidi"/>
          <w:b/>
          <w:sz w:val="26"/>
          <w:szCs w:val="26"/>
          <w:rtl/>
        </w:rPr>
      </w:pPr>
      <w:r w:rsidRPr="00D10CBB">
        <w:rPr>
          <w:rFonts w:asciiTheme="majorBidi" w:hAnsiTheme="majorBidi" w:cstheme="majorBidi"/>
          <w:bCs/>
          <w:sz w:val="26"/>
          <w:szCs w:val="26"/>
          <w:rtl/>
        </w:rPr>
        <w:t xml:space="preserve">רציונל, נושאים: </w:t>
      </w:r>
    </w:p>
    <w:p w14:paraId="2982642C" w14:textId="77777777" w:rsidR="006B2809" w:rsidRPr="00D10CBB" w:rsidRDefault="006B2809" w:rsidP="00D10CBB">
      <w:pPr>
        <w:spacing w:line="276" w:lineRule="auto"/>
        <w:ind w:left="397"/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</w:pP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במהלך הקורס נבצע ניתוח </w:t>
      </w:r>
      <w:r w:rsidR="004F7B22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ביקורתי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של החינוך הפורמלי, החינוך החברתי-ערכי במערכת החינוך הפורמלית והחינוך הבלתי פורמלי 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מנקודת מבט מגדרית. נתייחס לשאלות הדנות בהבניות המגדריות של ה</w:t>
      </w:r>
      <w:r w:rsidR="00191A6C"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מבנה הארגוני, ה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תכנים, המיומנויות </w:t>
      </w:r>
      <w:proofErr w:type="spellStart"/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והפרקטיקות</w:t>
      </w:r>
      <w:proofErr w:type="spellEnd"/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 של החינוך הפורמלי והבלתי פורמלי. נבחן את האידיאולוגיות המגדריות הנמצאות ביסוד</w:t>
      </w:r>
      <w:r w:rsidR="007144BB"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ן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 של הפעילו</w:t>
      </w:r>
      <w:r w:rsidR="00631E27"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יו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ת </w:t>
      </w:r>
      <w:r w:rsidR="00631E27"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החינוכיות 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המתקיימ</w:t>
      </w:r>
      <w:r w:rsidR="00631E27"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ו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 xml:space="preserve">ת במרחבים, באתרים ובזירות של החינוך.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>נדון בשאלות של אי שוויון, צדק והדרה מגדריים</w:t>
      </w:r>
      <w:r w:rsidR="00191A6C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המצטלבים עם מיקומים חברתיים אחרים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 וב</w:t>
      </w:r>
      <w:r w:rsidRPr="00D10CBB">
        <w:rPr>
          <w:rFonts w:asciiTheme="majorBidi" w:hAnsiTheme="majorBidi" w:cstheme="majorBidi"/>
          <w:b/>
          <w:sz w:val="26"/>
          <w:szCs w:val="26"/>
          <w:shd w:val="clear" w:color="auto" w:fill="FFFFFF"/>
          <w:rtl/>
        </w:rPr>
        <w:t>אסטרטגיות פדגוגיות הפועלות למען שוויון מגדרי ונציע אלטרנטיבות המקדמות שוויון מגדרי בחינוך.</w:t>
      </w:r>
    </w:p>
    <w:p w14:paraId="0A49AF93" w14:textId="77777777" w:rsidR="006B2809" w:rsidRPr="00D10CBB" w:rsidRDefault="006B2809" w:rsidP="00DC7FCA">
      <w:pPr>
        <w:ind w:left="360"/>
        <w:rPr>
          <w:rFonts w:asciiTheme="majorBidi" w:hAnsiTheme="majorBidi" w:cstheme="majorBidi"/>
          <w:b/>
          <w:sz w:val="26"/>
          <w:szCs w:val="26"/>
          <w:rtl/>
        </w:rPr>
      </w:pPr>
      <w:r w:rsidRPr="00D10CBB">
        <w:rPr>
          <w:rFonts w:asciiTheme="majorBidi" w:hAnsiTheme="majorBidi" w:cstheme="majorBidi"/>
          <w:bCs/>
          <w:sz w:val="26"/>
          <w:szCs w:val="26"/>
          <w:rtl/>
        </w:rPr>
        <w:t xml:space="preserve">מהלך השיעורים: </w:t>
      </w:r>
    </w:p>
    <w:p w14:paraId="47E147BC" w14:textId="3DBA8E24" w:rsidR="006B2809" w:rsidRDefault="006B2809" w:rsidP="00DC7FCA">
      <w:pPr>
        <w:ind w:left="360"/>
        <w:rPr>
          <w:rFonts w:asciiTheme="majorBidi" w:hAnsiTheme="majorBidi" w:cstheme="majorBidi"/>
          <w:b/>
          <w:sz w:val="26"/>
          <w:szCs w:val="26"/>
          <w:rtl/>
        </w:rPr>
      </w:pP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דרכי הוראה פמיניסטיות המתבססות על </w:t>
      </w:r>
      <w:r w:rsidR="001305A0"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הצלבה בין הידע התיאורטי לבין </w:t>
      </w:r>
      <w:r w:rsidRPr="00D10CBB">
        <w:rPr>
          <w:rFonts w:asciiTheme="majorBidi" w:hAnsiTheme="majorBidi" w:cstheme="majorBidi"/>
          <w:b/>
          <w:sz w:val="26"/>
          <w:szCs w:val="26"/>
          <w:rtl/>
        </w:rPr>
        <w:t xml:space="preserve">הידע של המשתתפות והמשתתפים ויוצרות ידע חדש באמצעות דיאלוג, שיתוף, שיקוף, רפלקסיה ועוד, המכוון לשינוי חברתי.  </w:t>
      </w:r>
    </w:p>
    <w:p w14:paraId="38EBBDC4" w14:textId="77777777" w:rsidR="00D10CBB" w:rsidRPr="00D10CBB" w:rsidRDefault="00D10CBB" w:rsidP="00DC7FCA">
      <w:pPr>
        <w:ind w:left="360"/>
        <w:rPr>
          <w:rFonts w:asciiTheme="majorBidi" w:hAnsiTheme="majorBidi" w:cstheme="majorBidi"/>
          <w:b/>
          <w:sz w:val="26"/>
          <w:szCs w:val="26"/>
        </w:rPr>
      </w:pPr>
    </w:p>
    <w:p w14:paraId="2889CD04" w14:textId="77777777" w:rsidR="006B2809" w:rsidRPr="00D10CBB" w:rsidRDefault="007144BB" w:rsidP="00D10CBB">
      <w:pPr>
        <w:pStyle w:val="a8"/>
        <w:bidi/>
        <w:spacing w:line="240" w:lineRule="auto"/>
        <w:ind w:left="360" w:right="-426"/>
        <w:rPr>
          <w:rFonts w:asciiTheme="majorBidi" w:hAnsiTheme="majorBidi" w:cstheme="majorBidi"/>
          <w:bCs/>
          <w:sz w:val="26"/>
          <w:szCs w:val="26"/>
          <w:rtl/>
        </w:rPr>
      </w:pPr>
      <w:r w:rsidRPr="00D10CBB">
        <w:rPr>
          <w:rFonts w:asciiTheme="majorBidi" w:hAnsiTheme="majorBidi" w:cstheme="majorBidi"/>
          <w:bCs/>
          <w:sz w:val="26"/>
          <w:szCs w:val="26"/>
          <w:rtl/>
        </w:rPr>
        <w:lastRenderedPageBreak/>
        <w:t>תכנית הוראה מפורטת לכל השיעורים:</w:t>
      </w:r>
    </w:p>
    <w:p w14:paraId="498AE480" w14:textId="77777777" w:rsidR="006B2809" w:rsidRPr="00D10CBB" w:rsidRDefault="006B2809" w:rsidP="00DC7FCA">
      <w:pPr>
        <w:pStyle w:val="a8"/>
        <w:bidi/>
        <w:spacing w:line="240" w:lineRule="auto"/>
        <w:ind w:left="360"/>
        <w:rPr>
          <w:rFonts w:asciiTheme="majorBidi" w:hAnsiTheme="majorBidi" w:cstheme="majorBidi"/>
          <w:b/>
        </w:rPr>
      </w:pPr>
    </w:p>
    <w:tbl>
      <w:tblPr>
        <w:bidiVisual/>
        <w:tblW w:w="10250" w:type="dxa"/>
        <w:tblInd w:w="-12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259"/>
        <w:gridCol w:w="6086"/>
      </w:tblGrid>
      <w:tr w:rsidR="007144BB" w:rsidRPr="00D10CBB" w14:paraId="155CC66D" w14:textId="77777777" w:rsidTr="00D10CBB">
        <w:tc>
          <w:tcPr>
            <w:tcW w:w="905" w:type="dxa"/>
            <w:tcBorders>
              <w:top w:val="single" w:sz="8" w:space="0" w:color="4BACC6"/>
            </w:tcBorders>
            <w:shd w:val="clear" w:color="auto" w:fill="4BACC6"/>
          </w:tcPr>
          <w:p w14:paraId="706CD85D" w14:textId="0704518C" w:rsidR="006B2809" w:rsidRPr="00D10CBB" w:rsidRDefault="00D10CBB" w:rsidP="00DC7FCA">
            <w:pPr>
              <w:spacing w:befor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שיעור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14:paraId="1AB56E22" w14:textId="77777777" w:rsidR="006B2809" w:rsidRPr="00D10CBB" w:rsidRDefault="006B2809" w:rsidP="00DC7FCA">
            <w:pPr>
              <w:spacing w:before="0"/>
              <w:rPr>
                <w:rFonts w:asciiTheme="majorBidi" w:hAnsiTheme="majorBidi" w:cstheme="majorBidi"/>
                <w:b/>
                <w:bCs/>
              </w:rPr>
            </w:pPr>
            <w:r w:rsidRPr="00D10CBB">
              <w:rPr>
                <w:rFonts w:asciiTheme="majorBidi" w:hAnsiTheme="majorBidi" w:cstheme="majorBidi"/>
                <w:b/>
                <w:bCs/>
                <w:rtl/>
              </w:rPr>
              <w:t>נושא השיעור</w:t>
            </w:r>
          </w:p>
        </w:tc>
        <w:tc>
          <w:tcPr>
            <w:tcW w:w="6086" w:type="dxa"/>
            <w:tcBorders>
              <w:top w:val="single" w:sz="8" w:space="0" w:color="4BACC6"/>
            </w:tcBorders>
            <w:shd w:val="clear" w:color="auto" w:fill="4BACC6"/>
          </w:tcPr>
          <w:p w14:paraId="3D4EDC0D" w14:textId="77777777" w:rsidR="006B2809" w:rsidRPr="00D10CBB" w:rsidRDefault="006B2809" w:rsidP="00DC7FCA">
            <w:pPr>
              <w:spacing w:before="0"/>
              <w:rPr>
                <w:rFonts w:asciiTheme="majorBidi" w:hAnsiTheme="majorBidi" w:cstheme="majorBidi"/>
                <w:b/>
                <w:bCs/>
              </w:rPr>
            </w:pPr>
            <w:r w:rsidRPr="00D10CBB">
              <w:rPr>
                <w:rFonts w:asciiTheme="majorBidi" w:hAnsiTheme="majorBidi" w:cstheme="majorBidi"/>
                <w:b/>
                <w:bCs/>
                <w:rtl/>
              </w:rPr>
              <w:t>קריאה נדרשת</w:t>
            </w:r>
          </w:p>
        </w:tc>
      </w:tr>
      <w:tr w:rsidR="007144BB" w:rsidRPr="00D10CBB" w14:paraId="2CA4EAE2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23350610" w14:textId="77777777" w:rsidR="006B2809" w:rsidRPr="00D10CBB" w:rsidRDefault="006B2809" w:rsidP="00DC7FCA">
            <w:pPr>
              <w:rPr>
                <w:rFonts w:asciiTheme="majorBidi" w:hAnsiTheme="majorBidi" w:cstheme="majorBidi"/>
                <w:b/>
                <w:bCs/>
              </w:rPr>
            </w:pPr>
            <w:r w:rsidRPr="00D10CBB">
              <w:rPr>
                <w:rFonts w:asciiTheme="majorBidi" w:hAnsiTheme="majorBidi" w:cstheme="majorBidi"/>
                <w:rtl/>
              </w:rPr>
              <w:t>1</w:t>
            </w:r>
            <w:r w:rsidR="00E84F40" w:rsidRPr="00D10CBB">
              <w:rPr>
                <w:rFonts w:asciiTheme="majorBidi" w:hAnsiTheme="majorBidi" w:cstheme="majorBidi"/>
                <w:rtl/>
              </w:rPr>
              <w:t xml:space="preserve"> - 2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4364BB6" w14:textId="77777777" w:rsidR="006B2809" w:rsidRPr="00D10CBB" w:rsidRDefault="006B2809" w:rsidP="00DC7FCA">
            <w:pPr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פדגוגיה פמיניסטית מתיאוריה למעשה</w:t>
            </w:r>
          </w:p>
          <w:p w14:paraId="72034BEC" w14:textId="77777777" w:rsidR="00CA07E9" w:rsidRPr="00D10CBB" w:rsidRDefault="00CA07E9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03848F87" w14:textId="690CFE6C" w:rsidR="006B2809" w:rsidRPr="00D10CBB" w:rsidRDefault="006B2809" w:rsidP="00DC7FCA">
            <w:pPr>
              <w:pStyle w:val="nospace"/>
              <w:bidi/>
              <w:spacing w:before="120" w:beforeAutospacing="0" w:after="0" w:afterAutospacing="0"/>
              <w:rPr>
                <w:rFonts w:asciiTheme="majorBidi" w:hAnsiTheme="majorBidi" w:cstheme="majorBidi"/>
                <w:rtl/>
              </w:rPr>
            </w:pPr>
            <w:proofErr w:type="spellStart"/>
            <w:r w:rsidRPr="00D10CBB">
              <w:rPr>
                <w:rFonts w:asciiTheme="majorBidi" w:hAnsiTheme="majorBidi" w:cstheme="majorBidi"/>
                <w:rtl/>
              </w:rPr>
              <w:t>הוקס</w:t>
            </w:r>
            <w:proofErr w:type="spellEnd"/>
            <w:r w:rsidRPr="00D10CBB">
              <w:rPr>
                <w:rFonts w:asciiTheme="majorBidi" w:hAnsiTheme="majorBidi" w:cstheme="majorBidi"/>
                <w:rtl/>
              </w:rPr>
              <w:t xml:space="preserve"> בל. 2002</w:t>
            </w:r>
            <w:r w:rsidRPr="00D10CBB">
              <w:rPr>
                <w:rFonts w:asciiTheme="majorBidi" w:hAnsiTheme="majorBidi" w:cstheme="majorBidi"/>
              </w:rPr>
              <w:t>.</w:t>
            </w:r>
          </w:p>
          <w:p w14:paraId="32896ADF" w14:textId="6F5325AA" w:rsidR="0049403F" w:rsidRPr="00D10CBB" w:rsidRDefault="0049403F" w:rsidP="0049403F">
            <w:pPr>
              <w:pStyle w:val="nospace"/>
              <w:bidi/>
              <w:spacing w:before="12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גור זיו, חגית. 2013.</w:t>
            </w:r>
          </w:p>
          <w:p w14:paraId="0F766243" w14:textId="77777777" w:rsidR="00566F93" w:rsidRPr="00D10CBB" w:rsidRDefault="00566F93" w:rsidP="00566F93">
            <w:pPr>
              <w:bidi w:val="0"/>
              <w:spacing w:before="0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D10CBB">
              <w:rPr>
                <w:rFonts w:asciiTheme="majorBidi" w:hAnsiTheme="majorBidi" w:cstheme="majorBidi"/>
                <w:shd w:val="clear" w:color="auto" w:fill="FAFAFA"/>
              </w:rPr>
              <w:t>Ali, S., Mirza, H., Phoenix, A., and Ringrose, J. 2010</w:t>
            </w:r>
            <w:r w:rsidRPr="00D10CBB">
              <w:rPr>
                <w:rFonts w:asciiTheme="majorBidi" w:hAnsiTheme="majorBidi" w:cstheme="majorBidi"/>
                <w:shd w:val="clear" w:color="auto" w:fill="FAFAFA"/>
                <w:rtl/>
              </w:rPr>
              <w:t xml:space="preserve">. </w:t>
            </w:r>
          </w:p>
          <w:p w14:paraId="0F82EC03" w14:textId="77777777" w:rsidR="006B2809" w:rsidRPr="00D10CBB" w:rsidRDefault="006B2809" w:rsidP="00DC7FCA">
            <w:pPr>
              <w:pStyle w:val="nospace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</w:rPr>
            </w:pPr>
            <w:r w:rsidRPr="00D10CBB">
              <w:rPr>
                <w:rFonts w:asciiTheme="majorBidi" w:hAnsiTheme="majorBidi" w:cstheme="majorBidi"/>
              </w:rPr>
              <w:t>Sánchez-</w:t>
            </w:r>
            <w:proofErr w:type="spellStart"/>
            <w:r w:rsidRPr="00D10CBB">
              <w:rPr>
                <w:rFonts w:asciiTheme="majorBidi" w:hAnsiTheme="majorBidi" w:cstheme="majorBidi"/>
              </w:rPr>
              <w:t>Casal</w:t>
            </w:r>
            <w:proofErr w:type="spellEnd"/>
            <w:r w:rsidRPr="00D10CBB">
              <w:rPr>
                <w:rFonts w:asciiTheme="majorBidi" w:hAnsiTheme="majorBidi" w:cstheme="majorBidi"/>
              </w:rPr>
              <w:t>, S. and Macdonald, A. 2002.</w:t>
            </w:r>
          </w:p>
        </w:tc>
      </w:tr>
      <w:tr w:rsidR="007144BB" w:rsidRPr="00D10CBB" w14:paraId="4F3D307E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4DD3B7FE" w14:textId="77777777" w:rsidR="006B2809" w:rsidRPr="00D10CBB" w:rsidRDefault="00E84F40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3 - 4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466796" w14:textId="74A15EA9" w:rsidR="00FF38C5" w:rsidRPr="00D10CBB" w:rsidRDefault="00FF38C5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 xml:space="preserve"> הטמעת שוויון מגדרי</w:t>
            </w:r>
            <w:r w:rsidR="00A91DB6" w:rsidRPr="00D10CBB">
              <w:rPr>
                <w:rFonts w:asciiTheme="majorBidi" w:hAnsiTheme="majorBidi" w:cstheme="majorBidi"/>
              </w:rPr>
              <w:t xml:space="preserve"> </w:t>
            </w:r>
            <w:r w:rsidR="00A91DB6" w:rsidRPr="00D10CBB">
              <w:rPr>
                <w:rFonts w:asciiTheme="majorBidi" w:hAnsiTheme="majorBidi" w:cstheme="majorBidi"/>
                <w:rtl/>
              </w:rPr>
              <w:t xml:space="preserve"> בחינוך</w:t>
            </w:r>
          </w:p>
          <w:p w14:paraId="7E00B6F0" w14:textId="77777777" w:rsidR="006B2809" w:rsidRPr="00D10CBB" w:rsidRDefault="006B2809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7C770008" w14:textId="77777777" w:rsidR="00DF0E02" w:rsidRPr="00D10CBB" w:rsidRDefault="00DF0E02" w:rsidP="00DC7FCA">
            <w:pPr>
              <w:pStyle w:val="nospace"/>
              <w:bidi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  <w:rtl/>
              </w:rPr>
              <w:t>אדן, דבורה. 2011.</w:t>
            </w:r>
          </w:p>
          <w:p w14:paraId="7C493401" w14:textId="5B0FA88A" w:rsidR="006B2809" w:rsidRPr="00D10CBB" w:rsidRDefault="00DF0E02" w:rsidP="00DC7FCA">
            <w:pPr>
              <w:pStyle w:val="nospace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D10CBB">
              <w:rPr>
                <w:rFonts w:asciiTheme="majorBidi" w:hAnsiTheme="majorBidi" w:cstheme="majorBidi"/>
              </w:rPr>
              <w:t>Unterhalter</w:t>
            </w:r>
            <w:proofErr w:type="spellEnd"/>
            <w:r w:rsidRPr="00D10CBB">
              <w:rPr>
                <w:rFonts w:asciiTheme="majorBidi" w:hAnsiTheme="majorBidi" w:cstheme="majorBidi"/>
              </w:rPr>
              <w:t>, E. &amp; North, A. 2010</w:t>
            </w:r>
            <w:r w:rsidRPr="00D10CBB">
              <w:rPr>
                <w:rFonts w:asciiTheme="majorBidi" w:hAnsiTheme="majorBidi" w:cstheme="majorBidi"/>
                <w:rtl/>
              </w:rPr>
              <w:t>.</w:t>
            </w:r>
          </w:p>
          <w:p w14:paraId="02C1A302" w14:textId="59973447" w:rsidR="00A262C1" w:rsidRPr="00D10CBB" w:rsidRDefault="00A262C1" w:rsidP="00DC7FCA">
            <w:pPr>
              <w:pStyle w:val="nospace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proofErr w:type="spellStart"/>
            <w:r w:rsidRPr="00D10CBB">
              <w:rPr>
                <w:rFonts w:asciiTheme="majorBidi" w:hAnsiTheme="majorBidi" w:cstheme="majorBidi"/>
              </w:rPr>
              <w:t>Malins</w:t>
            </w:r>
            <w:proofErr w:type="spellEnd"/>
            <w:r w:rsidRPr="00D10CBB">
              <w:rPr>
                <w:rFonts w:asciiTheme="majorBidi" w:hAnsiTheme="majorBidi" w:cstheme="majorBidi"/>
              </w:rPr>
              <w:t>, Pamela. 2016.</w:t>
            </w:r>
          </w:p>
          <w:p w14:paraId="1F5D095E" w14:textId="77777777" w:rsidR="00DF0E02" w:rsidRPr="00D10CBB" w:rsidRDefault="00DF0E02" w:rsidP="00DC7FCA">
            <w:pPr>
              <w:pStyle w:val="nospace"/>
              <w:bidi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</w:p>
        </w:tc>
      </w:tr>
      <w:tr w:rsidR="007144BB" w:rsidRPr="00D10CBB" w14:paraId="2FC3E925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797A2757" w14:textId="77777777" w:rsidR="00415906" w:rsidRPr="00D10CBB" w:rsidRDefault="00CA07E9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5 - 6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441F14" w14:textId="5878562C" w:rsidR="00415906" w:rsidRPr="00D10CBB" w:rsidRDefault="00415906" w:rsidP="00DC7FCA">
            <w:pPr>
              <w:spacing w:before="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  <w:rtl/>
              </w:rPr>
              <w:t>פמיניזציה של ההוראה</w:t>
            </w:r>
            <w:r w:rsidRPr="00D10CBB">
              <w:rPr>
                <w:rFonts w:asciiTheme="majorBidi" w:hAnsiTheme="majorBidi" w:cstheme="majorBidi"/>
                <w:snapToGrid w:val="0"/>
                <w:rtl/>
              </w:rPr>
              <w:t xml:space="preserve"> </w:t>
            </w:r>
            <w:r w:rsidR="006E1BB6" w:rsidRPr="00D10CBB">
              <w:rPr>
                <w:rFonts w:asciiTheme="majorBidi" w:hAnsiTheme="majorBidi" w:cstheme="majorBidi"/>
                <w:snapToGrid w:val="0"/>
                <w:rtl/>
              </w:rPr>
              <w:t>והפרטת מערכת החינוך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261B973E" w14:textId="0B85E764" w:rsidR="00C977AD" w:rsidRPr="00D10CBB" w:rsidRDefault="00C977AD" w:rsidP="00C977AD">
            <w:pPr>
              <w:bidi w:val="0"/>
              <w:spacing w:before="0"/>
              <w:ind w:left="360" w:hanging="418"/>
              <w:rPr>
                <w:rFonts w:asciiTheme="majorBidi" w:hAnsiTheme="majorBidi" w:cstheme="majorBidi"/>
                <w:snapToGrid w:val="0"/>
              </w:rPr>
            </w:pPr>
            <w:r w:rsidRPr="00D10CBB">
              <w:rPr>
                <w:rFonts w:asciiTheme="majorBidi" w:hAnsiTheme="majorBidi" w:cstheme="majorBidi"/>
                <w:snapToGrid w:val="0"/>
              </w:rPr>
              <w:t>Moreau, Marie-Pierre. 2019</w:t>
            </w:r>
          </w:p>
          <w:p w14:paraId="3A0EC1FB" w14:textId="48919BAE" w:rsidR="00CA07E9" w:rsidRPr="00D10CBB" w:rsidRDefault="00415906" w:rsidP="00DC7FCA">
            <w:pPr>
              <w:bidi w:val="0"/>
              <w:spacing w:before="0"/>
              <w:rPr>
                <w:rFonts w:asciiTheme="majorBidi" w:hAnsiTheme="majorBidi" w:cstheme="majorBidi"/>
                <w:snapToGrid w:val="0"/>
              </w:rPr>
            </w:pPr>
            <w:r w:rsidRPr="00D10CBB">
              <w:rPr>
                <w:rFonts w:asciiTheme="majorBidi" w:hAnsiTheme="majorBidi" w:cstheme="majorBidi"/>
              </w:rPr>
              <w:t>Watts, Ruth. 2013</w:t>
            </w:r>
            <w:r w:rsidR="00CA07E9" w:rsidRPr="00D10CBB">
              <w:rPr>
                <w:rFonts w:asciiTheme="majorBidi" w:hAnsiTheme="majorBidi" w:cstheme="majorBidi"/>
                <w:snapToGrid w:val="0"/>
                <w:rtl/>
              </w:rPr>
              <w:t xml:space="preserve"> </w:t>
            </w:r>
          </w:p>
          <w:p w14:paraId="1F7EFF4E" w14:textId="77777777" w:rsidR="003C25EA" w:rsidRPr="00D10CBB" w:rsidRDefault="003C25EA" w:rsidP="003C25EA">
            <w:pPr>
              <w:spacing w:before="0"/>
              <w:ind w:left="360" w:hanging="418"/>
              <w:rPr>
                <w:rFonts w:asciiTheme="majorBidi" w:hAnsiTheme="majorBidi" w:cstheme="majorBidi"/>
                <w:b/>
                <w:bCs/>
                <w:rtl/>
              </w:rPr>
            </w:pPr>
            <w:r w:rsidRPr="00D10CBB">
              <w:rPr>
                <w:rFonts w:asciiTheme="majorBidi" w:hAnsiTheme="majorBidi" w:cstheme="majorBidi"/>
                <w:snapToGrid w:val="0"/>
                <w:rtl/>
              </w:rPr>
              <w:t xml:space="preserve">הרצוג, אסתר. 2010. </w:t>
            </w:r>
          </w:p>
          <w:p w14:paraId="71BB0BE3" w14:textId="1E54081E" w:rsidR="00415906" w:rsidRPr="00D10CBB" w:rsidRDefault="00415906" w:rsidP="00DC7FCA">
            <w:pPr>
              <w:spacing w:before="0"/>
              <w:ind w:left="360" w:hanging="418"/>
              <w:rPr>
                <w:rFonts w:asciiTheme="majorBidi" w:hAnsiTheme="majorBidi" w:cstheme="majorBidi"/>
                <w:rtl/>
              </w:rPr>
            </w:pPr>
          </w:p>
        </w:tc>
      </w:tr>
      <w:tr w:rsidR="00305613" w:rsidRPr="00D10CBB" w14:paraId="75D08773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24CF95BA" w14:textId="5BE9451B" w:rsidR="00305613" w:rsidRPr="00D10CBB" w:rsidRDefault="00305613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AFB5FE" w14:textId="466229A4" w:rsidR="00305613" w:rsidRPr="00D10CBB" w:rsidRDefault="00E957A8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פערי מגדר בהישגים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7DC15833" w14:textId="3BACBDE4" w:rsidR="00D56646" w:rsidRPr="00D10CBB" w:rsidRDefault="00D56646" w:rsidP="00D56646">
            <w:pPr>
              <w:bidi w:val="0"/>
              <w:spacing w:before="0"/>
              <w:ind w:left="360" w:hanging="418"/>
              <w:jc w:val="left"/>
              <w:rPr>
                <w:rFonts w:asciiTheme="majorBidi" w:hAnsiTheme="majorBidi" w:cstheme="majorBidi"/>
                <w:snapToGrid w:val="0"/>
              </w:rPr>
            </w:pPr>
            <w:proofErr w:type="spellStart"/>
            <w:r w:rsidRPr="00D10CBB">
              <w:rPr>
                <w:rFonts w:asciiTheme="majorBidi" w:hAnsiTheme="majorBidi" w:cstheme="majorBidi"/>
                <w:snapToGrid w:val="0"/>
              </w:rPr>
              <w:t>Gijsbert</w:t>
            </w:r>
            <w:proofErr w:type="spellEnd"/>
            <w:r w:rsidRPr="00D10CBB">
              <w:rPr>
                <w:rFonts w:asciiTheme="majorBidi" w:hAnsiTheme="majorBidi" w:cstheme="majorBidi"/>
                <w:snapToGrid w:val="0"/>
              </w:rPr>
              <w:t xml:space="preserve"> </w:t>
            </w:r>
            <w:proofErr w:type="spellStart"/>
            <w:r w:rsidRPr="00D10CBB">
              <w:rPr>
                <w:rFonts w:asciiTheme="majorBidi" w:hAnsiTheme="majorBidi" w:cstheme="majorBidi"/>
                <w:snapToGrid w:val="0"/>
              </w:rPr>
              <w:t>Stoet</w:t>
            </w:r>
            <w:proofErr w:type="spellEnd"/>
            <w:r w:rsidRPr="00D10CBB">
              <w:rPr>
                <w:rFonts w:asciiTheme="majorBidi" w:hAnsiTheme="majorBidi" w:cstheme="majorBidi"/>
                <w:snapToGrid w:val="0"/>
              </w:rPr>
              <w:t xml:space="preserve"> and David C. Geary. 2018</w:t>
            </w:r>
            <w:r w:rsidRPr="00D10CBB">
              <w:rPr>
                <w:rFonts w:asciiTheme="majorBidi" w:hAnsiTheme="majorBidi" w:cstheme="majorBidi"/>
                <w:snapToGrid w:val="0"/>
                <w:rtl/>
              </w:rPr>
              <w:t>.</w:t>
            </w:r>
          </w:p>
          <w:p w14:paraId="0C410682" w14:textId="77777777" w:rsidR="009C3B14" w:rsidRPr="00D10CBB" w:rsidRDefault="009C3B14" w:rsidP="00FA0E50">
            <w:pPr>
              <w:spacing w:before="0"/>
              <w:ind w:left="360" w:hanging="418"/>
              <w:jc w:val="left"/>
              <w:rPr>
                <w:rFonts w:asciiTheme="majorBidi" w:hAnsiTheme="majorBidi" w:cstheme="majorBidi"/>
                <w:snapToGrid w:val="0"/>
                <w:rtl/>
              </w:rPr>
            </w:pPr>
          </w:p>
          <w:p w14:paraId="3E5D726E" w14:textId="343FBCF6" w:rsidR="00305613" w:rsidRPr="00D10CBB" w:rsidRDefault="00FA0E50" w:rsidP="00FA0E50">
            <w:pPr>
              <w:spacing w:before="0"/>
              <w:ind w:left="360" w:hanging="418"/>
              <w:jc w:val="left"/>
              <w:rPr>
                <w:rFonts w:asciiTheme="majorBidi" w:hAnsiTheme="majorBidi" w:cstheme="majorBidi"/>
                <w:snapToGrid w:val="0"/>
                <w:rtl/>
              </w:rPr>
            </w:pPr>
            <w:proofErr w:type="spellStart"/>
            <w:r w:rsidRPr="00D10CBB">
              <w:rPr>
                <w:rFonts w:asciiTheme="majorBidi" w:hAnsiTheme="majorBidi" w:cstheme="majorBidi"/>
                <w:snapToGrid w:val="0"/>
                <w:rtl/>
              </w:rPr>
              <w:t>רפ</w:t>
            </w:r>
            <w:proofErr w:type="spellEnd"/>
            <w:r w:rsidRPr="00D10CBB">
              <w:rPr>
                <w:rFonts w:asciiTheme="majorBidi" w:hAnsiTheme="majorBidi" w:cstheme="majorBidi"/>
                <w:snapToGrid w:val="0"/>
                <w:rtl/>
              </w:rPr>
              <w:t>, י</w:t>
            </w:r>
            <w:r w:rsidR="001879BE" w:rsidRPr="00D10CBB">
              <w:rPr>
                <w:rFonts w:asciiTheme="majorBidi" w:hAnsiTheme="majorBidi" w:cstheme="majorBidi"/>
                <w:snapToGrid w:val="0"/>
                <w:rtl/>
              </w:rPr>
              <w:t>ואל</w:t>
            </w:r>
            <w:r w:rsidR="00F665D1" w:rsidRPr="00D10CBB">
              <w:rPr>
                <w:rFonts w:asciiTheme="majorBidi" w:hAnsiTheme="majorBidi" w:cstheme="majorBidi"/>
                <w:snapToGrid w:val="0"/>
                <w:rtl/>
              </w:rPr>
              <w:t xml:space="preserve">. </w:t>
            </w:r>
            <w:r w:rsidRPr="00D10CBB">
              <w:rPr>
                <w:rFonts w:asciiTheme="majorBidi" w:hAnsiTheme="majorBidi" w:cstheme="majorBidi"/>
                <w:snapToGrid w:val="0"/>
              </w:rPr>
              <w:t>.2014</w:t>
            </w:r>
            <w:r w:rsidR="00AE2CCB" w:rsidRPr="00D10CBB">
              <w:rPr>
                <w:rFonts w:asciiTheme="majorBidi" w:hAnsiTheme="majorBidi" w:cstheme="majorBidi"/>
                <w:snapToGrid w:val="0"/>
                <w:rtl/>
              </w:rPr>
              <w:t xml:space="preserve">  </w:t>
            </w:r>
          </w:p>
          <w:p w14:paraId="5E233C9F" w14:textId="77777777" w:rsidR="00AE2CCB" w:rsidRPr="00D10CBB" w:rsidRDefault="00AE2CCB" w:rsidP="00FA0E50">
            <w:pPr>
              <w:spacing w:before="0"/>
              <w:ind w:left="360" w:hanging="418"/>
              <w:jc w:val="left"/>
              <w:rPr>
                <w:rFonts w:asciiTheme="majorBidi" w:hAnsiTheme="majorBidi" w:cstheme="majorBidi"/>
                <w:snapToGrid w:val="0"/>
                <w:rtl/>
              </w:rPr>
            </w:pPr>
            <w:r w:rsidRPr="00D10CBB">
              <w:rPr>
                <w:rFonts w:asciiTheme="majorBidi" w:hAnsiTheme="majorBidi" w:cstheme="majorBidi"/>
                <w:snapToGrid w:val="0"/>
                <w:rtl/>
              </w:rPr>
              <w:t xml:space="preserve">נאסר-אבו </w:t>
            </w:r>
            <w:proofErr w:type="spellStart"/>
            <w:r w:rsidRPr="00D10CBB">
              <w:rPr>
                <w:rFonts w:asciiTheme="majorBidi" w:hAnsiTheme="majorBidi" w:cstheme="majorBidi"/>
                <w:snapToGrid w:val="0"/>
                <w:rtl/>
              </w:rPr>
              <w:t>אלהיג׳א</w:t>
            </w:r>
            <w:proofErr w:type="spellEnd"/>
            <w:r w:rsidRPr="00D10CBB">
              <w:rPr>
                <w:rFonts w:asciiTheme="majorBidi" w:hAnsiTheme="majorBidi" w:cstheme="majorBidi"/>
                <w:snapToGrid w:val="0"/>
                <w:rtl/>
              </w:rPr>
              <w:t xml:space="preserve"> ,פאדיה</w:t>
            </w:r>
            <w:r w:rsidR="00C20558" w:rsidRPr="00D10CBB">
              <w:rPr>
                <w:rFonts w:asciiTheme="majorBidi" w:hAnsiTheme="majorBidi" w:cstheme="majorBidi"/>
                <w:snapToGrid w:val="0"/>
                <w:rtl/>
              </w:rPr>
              <w:t>.2017  .</w:t>
            </w:r>
          </w:p>
          <w:p w14:paraId="51E5BEAB" w14:textId="06FE2021" w:rsidR="00C20558" w:rsidRPr="00D10CBB" w:rsidRDefault="00C20558" w:rsidP="00FA0E50">
            <w:pPr>
              <w:spacing w:before="0"/>
              <w:ind w:left="360" w:hanging="418"/>
              <w:jc w:val="left"/>
              <w:rPr>
                <w:rFonts w:asciiTheme="majorBidi" w:hAnsiTheme="majorBidi" w:cstheme="majorBidi"/>
                <w:snapToGrid w:val="0"/>
                <w:rtl/>
              </w:rPr>
            </w:pPr>
          </w:p>
        </w:tc>
      </w:tr>
      <w:tr w:rsidR="00F0657B" w:rsidRPr="00D10CBB" w14:paraId="5A7DE02C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09D3F6A7" w14:textId="012F6AAE" w:rsidR="00F0657B" w:rsidRPr="00D10CBB" w:rsidRDefault="00F0657B" w:rsidP="00547F22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8</w:t>
            </w:r>
            <w:r w:rsidR="00547F22" w:rsidRPr="00D10CBB">
              <w:rPr>
                <w:rFonts w:asciiTheme="majorBidi" w:hAnsiTheme="majorBidi" w:cstheme="majorBidi"/>
                <w:rtl/>
              </w:rPr>
              <w:t xml:space="preserve"> - 9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AA1FB7" w14:textId="77777777" w:rsidR="00F0657B" w:rsidRPr="00D10CBB" w:rsidRDefault="00F0657B" w:rsidP="00DC7FCA">
            <w:pPr>
              <w:spacing w:before="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  <w:rtl/>
              </w:rPr>
              <w:t xml:space="preserve">מגדור החינוך - </w:t>
            </w:r>
            <w:proofErr w:type="spellStart"/>
            <w:r w:rsidRPr="00D10CBB">
              <w:rPr>
                <w:rFonts w:asciiTheme="majorBidi" w:hAnsiTheme="majorBidi" w:cstheme="majorBidi"/>
                <w:rtl/>
              </w:rPr>
              <w:t>תכניות</w:t>
            </w:r>
            <w:proofErr w:type="spellEnd"/>
            <w:r w:rsidRPr="00D10CBB">
              <w:rPr>
                <w:rFonts w:asciiTheme="majorBidi" w:hAnsiTheme="majorBidi" w:cstheme="majorBidi"/>
                <w:rtl/>
              </w:rPr>
              <w:t xml:space="preserve"> לימודים, תהליכי למידה ויחסי גומלין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508F680D" w14:textId="77777777" w:rsidR="00F0657B" w:rsidRPr="00D10CBB" w:rsidRDefault="00F0657B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 xml:space="preserve">קוש, </w:t>
            </w:r>
            <w:proofErr w:type="spellStart"/>
            <w:r w:rsidRPr="00D10CBB">
              <w:rPr>
                <w:rFonts w:asciiTheme="majorBidi" w:hAnsiTheme="majorBidi" w:cstheme="majorBidi"/>
                <w:rtl/>
              </w:rPr>
              <w:t>טלילה</w:t>
            </w:r>
            <w:proofErr w:type="spellEnd"/>
            <w:r w:rsidRPr="00D10CBB">
              <w:rPr>
                <w:rFonts w:asciiTheme="majorBidi" w:hAnsiTheme="majorBidi" w:cstheme="majorBidi"/>
                <w:rtl/>
              </w:rPr>
              <w:t xml:space="preserve"> וחרובי, דינה. 2017</w:t>
            </w:r>
            <w:r w:rsidRPr="00D10CBB">
              <w:rPr>
                <w:rFonts w:asciiTheme="majorBidi" w:hAnsiTheme="majorBidi" w:cstheme="majorBidi"/>
              </w:rPr>
              <w:t>.</w:t>
            </w:r>
          </w:p>
          <w:p w14:paraId="146079AF" w14:textId="77777777" w:rsidR="00F0657B" w:rsidRPr="00D10CBB" w:rsidRDefault="00795EA9" w:rsidP="00C8771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 xml:space="preserve">לביא, ויקטור </w:t>
            </w:r>
            <w:proofErr w:type="spellStart"/>
            <w:r w:rsidRPr="00D10CBB">
              <w:rPr>
                <w:rFonts w:asciiTheme="majorBidi" w:hAnsiTheme="majorBidi" w:cstheme="majorBidi"/>
                <w:rtl/>
              </w:rPr>
              <w:t>וזנד</w:t>
            </w:r>
            <w:proofErr w:type="spellEnd"/>
            <w:r w:rsidRPr="00D10CBB">
              <w:rPr>
                <w:rFonts w:asciiTheme="majorBidi" w:hAnsiTheme="majorBidi" w:cstheme="majorBidi"/>
                <w:rtl/>
              </w:rPr>
              <w:t>, אורית</w:t>
            </w:r>
            <w:r w:rsidR="00C8771A" w:rsidRPr="00D10CBB">
              <w:rPr>
                <w:rFonts w:asciiTheme="majorBidi" w:hAnsiTheme="majorBidi" w:cstheme="majorBidi"/>
                <w:rtl/>
              </w:rPr>
              <w:t xml:space="preserve">. </w:t>
            </w:r>
            <w:r w:rsidRPr="00D10CBB">
              <w:rPr>
                <w:rFonts w:asciiTheme="majorBidi" w:hAnsiTheme="majorBidi" w:cstheme="majorBidi"/>
              </w:rPr>
              <w:t>.</w:t>
            </w:r>
            <w:r w:rsidR="00CA63FC" w:rsidRPr="00D10CBB">
              <w:rPr>
                <w:rFonts w:asciiTheme="majorBidi" w:hAnsiTheme="majorBidi" w:cstheme="majorBidi"/>
              </w:rPr>
              <w:t>2016</w:t>
            </w:r>
          </w:p>
          <w:p w14:paraId="5AF740CD" w14:textId="29B35B83" w:rsidR="009C2C80" w:rsidRPr="00D10CBB" w:rsidRDefault="009C2C80" w:rsidP="009C2C80">
            <w:pPr>
              <w:bidi w:val="0"/>
              <w:spacing w:before="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</w:rPr>
              <w:t xml:space="preserve">Shapiro Mary, Grossman Diane, Carter Suzanne, Martin </w:t>
            </w:r>
            <w:proofErr w:type="spellStart"/>
            <w:r w:rsidRPr="00D10CBB">
              <w:rPr>
                <w:rFonts w:asciiTheme="majorBidi" w:hAnsiTheme="majorBidi" w:cstheme="majorBidi"/>
              </w:rPr>
              <w:t>Karyn</w:t>
            </w:r>
            <w:proofErr w:type="spellEnd"/>
            <w:r w:rsidRPr="00D10CB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10CBB">
              <w:rPr>
                <w:rFonts w:asciiTheme="majorBidi" w:hAnsiTheme="majorBidi" w:cstheme="majorBidi"/>
              </w:rPr>
              <w:t>Deyton</w:t>
            </w:r>
            <w:proofErr w:type="spellEnd"/>
            <w:r w:rsidRPr="00D10CBB">
              <w:rPr>
                <w:rFonts w:asciiTheme="majorBidi" w:hAnsiTheme="majorBidi" w:cstheme="majorBidi"/>
              </w:rPr>
              <w:t xml:space="preserve"> Patricia, &amp; Hammer Diane. 2015</w:t>
            </w:r>
          </w:p>
        </w:tc>
      </w:tr>
      <w:tr w:rsidR="00B33FE0" w:rsidRPr="00D10CBB" w14:paraId="34B1FD47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683AAD36" w14:textId="19305CE5" w:rsidR="00B33FE0" w:rsidRPr="00D10CBB" w:rsidRDefault="00B33FE0" w:rsidP="00B33FE0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</w:rPr>
              <w:t xml:space="preserve"> </w:t>
            </w:r>
            <w:r w:rsidR="00547F22" w:rsidRPr="00D10CBB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13DC97" w14:textId="2314D983" w:rsidR="00B33FE0" w:rsidRPr="00D10CBB" w:rsidRDefault="00B33FE0" w:rsidP="00B33FE0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השיח המגדרי במערכת החינוך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29660E5E" w14:textId="77777777" w:rsidR="00536D63" w:rsidRPr="00D10CBB" w:rsidRDefault="00B33FE0" w:rsidP="00D85B88">
            <w:pPr>
              <w:bidi w:val="0"/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</w:rPr>
              <w:t xml:space="preserve"> </w:t>
            </w:r>
            <w:r w:rsidR="00A2041B" w:rsidRPr="00D10CBB">
              <w:rPr>
                <w:rFonts w:asciiTheme="majorBidi" w:hAnsiTheme="majorBidi" w:cstheme="majorBidi"/>
              </w:rPr>
              <w:t>Pomerantz, S. Raby, R. Stefanik A. 2013</w:t>
            </w:r>
            <w:r w:rsidR="00A2041B" w:rsidRPr="00D10CBB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4B025CE1" w14:textId="2BEC758B" w:rsidR="00B33FE0" w:rsidRPr="00D10CBB" w:rsidRDefault="00A2041B" w:rsidP="00536D63">
            <w:pPr>
              <w:bidi w:val="0"/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CB262C" w:rsidRPr="00D10CBB" w14:paraId="20D2D887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2A0DE0D0" w14:textId="14FEFE90" w:rsidR="00CB262C" w:rsidRPr="00D10CBB" w:rsidDel="00CB262C" w:rsidRDefault="00A2041B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1</w:t>
            </w:r>
            <w:r w:rsidR="00547F22" w:rsidRPr="00D10CB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1764375" w14:textId="77777777" w:rsidR="00CB262C" w:rsidRPr="00D10CBB" w:rsidRDefault="00CB262C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מגדר, מעמד ואתניות בחינוך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6106CCAC" w14:textId="07CFEA99" w:rsidR="00D90394" w:rsidRPr="00D10CBB" w:rsidRDefault="00D90394" w:rsidP="00D90394">
            <w:pPr>
              <w:spacing w:before="0"/>
              <w:rPr>
                <w:rFonts w:asciiTheme="majorBidi" w:hAnsiTheme="majorBidi" w:cstheme="majorBidi"/>
                <w:shd w:val="clear" w:color="auto" w:fill="FAFAFA"/>
                <w:rtl/>
              </w:rPr>
            </w:pPr>
            <w:r w:rsidRPr="00D10CBB">
              <w:rPr>
                <w:rFonts w:asciiTheme="majorBidi" w:hAnsiTheme="majorBidi" w:cstheme="majorBidi"/>
                <w:snapToGrid w:val="0"/>
                <w:rtl/>
              </w:rPr>
              <w:t xml:space="preserve">יונה, יוסי </w:t>
            </w:r>
            <w:proofErr w:type="spellStart"/>
            <w:r w:rsidRPr="00D10CBB">
              <w:rPr>
                <w:rFonts w:asciiTheme="majorBidi" w:hAnsiTheme="majorBidi" w:cstheme="majorBidi"/>
                <w:snapToGrid w:val="0"/>
                <w:rtl/>
              </w:rPr>
              <w:t>וספורטא</w:t>
            </w:r>
            <w:proofErr w:type="spellEnd"/>
            <w:r w:rsidRPr="00D10CBB">
              <w:rPr>
                <w:rFonts w:asciiTheme="majorBidi" w:hAnsiTheme="majorBidi" w:cstheme="majorBidi"/>
                <w:snapToGrid w:val="0"/>
                <w:rtl/>
              </w:rPr>
              <w:t>, יצחק. 2005</w:t>
            </w:r>
          </w:p>
          <w:p w14:paraId="4E679D23" w14:textId="78043256" w:rsidR="004F7C5D" w:rsidRPr="00D10CBB" w:rsidRDefault="004F7C5D" w:rsidP="004F7C5D">
            <w:pPr>
              <w:bidi w:val="0"/>
              <w:spacing w:before="0"/>
              <w:rPr>
                <w:rFonts w:asciiTheme="majorBidi" w:hAnsiTheme="majorBidi" w:cstheme="majorBidi"/>
                <w:shd w:val="clear" w:color="auto" w:fill="FAFAFA"/>
              </w:rPr>
            </w:pPr>
            <w:r w:rsidRPr="00D10CBB">
              <w:rPr>
                <w:rFonts w:asciiTheme="majorBidi" w:hAnsiTheme="majorBidi" w:cstheme="majorBidi"/>
              </w:rPr>
              <w:t>Sutton April, Bosky Amanda, and Muller Chandra. 2016.</w:t>
            </w:r>
          </w:p>
          <w:p w14:paraId="1E93A2A2" w14:textId="77777777" w:rsidR="00CB262C" w:rsidRPr="00D10CBB" w:rsidRDefault="00CB262C" w:rsidP="00566F93">
            <w:pPr>
              <w:bidi w:val="0"/>
              <w:spacing w:before="0"/>
              <w:rPr>
                <w:rFonts w:asciiTheme="majorBidi" w:hAnsiTheme="majorBidi" w:cstheme="majorBidi"/>
              </w:rPr>
            </w:pPr>
          </w:p>
        </w:tc>
      </w:tr>
      <w:tr w:rsidR="00CB262C" w:rsidRPr="00D10CBB" w14:paraId="47908FF1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53C964F2" w14:textId="6FB432DA" w:rsidR="00CB262C" w:rsidRPr="00D10CBB" w:rsidRDefault="00513D1E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12</w:t>
            </w:r>
            <w:r w:rsidR="00547F22" w:rsidRPr="00D10CBB">
              <w:rPr>
                <w:rFonts w:asciiTheme="majorBidi" w:hAnsiTheme="majorBidi" w:cstheme="majorBidi"/>
                <w:rtl/>
              </w:rPr>
              <w:t xml:space="preserve"> - 13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3270B4" w14:textId="1A02D4EB" w:rsidR="00CB262C" w:rsidRPr="00D10CBB" w:rsidRDefault="00CB262C" w:rsidP="00DC7FCA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אלימות</w:t>
            </w:r>
            <w:r w:rsidR="00050A73" w:rsidRPr="00D10CBB">
              <w:rPr>
                <w:rFonts w:asciiTheme="majorBidi" w:hAnsiTheme="majorBidi" w:cstheme="majorBidi"/>
                <w:rtl/>
              </w:rPr>
              <w:t xml:space="preserve"> מגדרית</w:t>
            </w:r>
            <w:r w:rsidRPr="00D10CBB">
              <w:rPr>
                <w:rFonts w:asciiTheme="majorBidi" w:hAnsiTheme="majorBidi" w:cstheme="majorBidi"/>
                <w:rtl/>
              </w:rPr>
              <w:t xml:space="preserve"> בחינוך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7D344439" w14:textId="6EEB8154" w:rsidR="00B116E9" w:rsidRPr="00D10CBB" w:rsidRDefault="00B116E9" w:rsidP="00DC7FCA">
            <w:pPr>
              <w:bidi w:val="0"/>
              <w:spacing w:before="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</w:rPr>
              <w:t>Meyer, E. J. 2008.</w:t>
            </w:r>
          </w:p>
          <w:p w14:paraId="153D1E2C" w14:textId="64BB36DA" w:rsidR="00CB262C" w:rsidRPr="00D10CBB" w:rsidRDefault="00CB262C" w:rsidP="00B116E9">
            <w:pPr>
              <w:bidi w:val="0"/>
              <w:spacing w:before="0"/>
              <w:rPr>
                <w:rFonts w:asciiTheme="majorBidi" w:hAnsiTheme="majorBidi" w:cstheme="majorBidi"/>
                <w:shd w:val="clear" w:color="auto" w:fill="FAFAFA"/>
              </w:rPr>
            </w:pPr>
            <w:proofErr w:type="spellStart"/>
            <w:r w:rsidRPr="00D10CBB">
              <w:rPr>
                <w:rFonts w:asciiTheme="majorBidi" w:hAnsiTheme="majorBidi" w:cstheme="majorBidi"/>
              </w:rPr>
              <w:t>Renold</w:t>
            </w:r>
            <w:proofErr w:type="spellEnd"/>
            <w:r w:rsidRPr="00D10CBB">
              <w:rPr>
                <w:rFonts w:asciiTheme="majorBidi" w:hAnsiTheme="majorBidi" w:cstheme="majorBidi"/>
              </w:rPr>
              <w:t>, E. 2006</w:t>
            </w:r>
            <w:r w:rsidRPr="00D10CBB">
              <w:rPr>
                <w:rFonts w:asciiTheme="majorBidi" w:hAnsiTheme="majorBidi" w:cstheme="majorBidi"/>
                <w:rtl/>
              </w:rPr>
              <w:t>.</w:t>
            </w:r>
          </w:p>
          <w:p w14:paraId="5A1A8C98" w14:textId="7B555F7C" w:rsidR="00B116E9" w:rsidRPr="00D10CBB" w:rsidRDefault="00B116E9" w:rsidP="00B116E9">
            <w:pPr>
              <w:bidi w:val="0"/>
              <w:spacing w:before="0"/>
              <w:rPr>
                <w:rFonts w:asciiTheme="majorBidi" w:hAnsiTheme="majorBidi" w:cstheme="majorBidi"/>
                <w:shd w:val="clear" w:color="auto" w:fill="FAFAFA"/>
              </w:rPr>
            </w:pPr>
          </w:p>
        </w:tc>
      </w:tr>
      <w:tr w:rsidR="00141452" w:rsidRPr="00D10CBB" w14:paraId="474F71EE" w14:textId="77777777" w:rsidTr="00D10CBB">
        <w:tc>
          <w:tcPr>
            <w:tcW w:w="905" w:type="dxa"/>
            <w:tcBorders>
              <w:top w:val="single" w:sz="8" w:space="0" w:color="4BACC6"/>
              <w:bottom w:val="single" w:sz="8" w:space="0" w:color="4BACC6"/>
            </w:tcBorders>
          </w:tcPr>
          <w:p w14:paraId="0FEED989" w14:textId="6F0FD1F3" w:rsidR="00141452" w:rsidRPr="00D10CBB" w:rsidRDefault="005C5BBA" w:rsidP="00141452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91C0D19" w14:textId="100A4DA4" w:rsidR="00141452" w:rsidRPr="00D10CBB" w:rsidRDefault="006C6209" w:rsidP="00141452">
            <w:pPr>
              <w:spacing w:before="0"/>
              <w:rPr>
                <w:rFonts w:asciiTheme="majorBidi" w:hAnsiTheme="majorBidi" w:cstheme="majorBidi"/>
                <w:rtl/>
              </w:rPr>
            </w:pPr>
            <w:r w:rsidRPr="00D10CBB">
              <w:rPr>
                <w:rFonts w:asciiTheme="majorBidi" w:hAnsiTheme="majorBidi" w:cstheme="majorBidi"/>
                <w:rtl/>
              </w:rPr>
              <w:t>מורות ותלמידות יוצרות שינוי</w:t>
            </w:r>
          </w:p>
        </w:tc>
        <w:tc>
          <w:tcPr>
            <w:tcW w:w="6086" w:type="dxa"/>
            <w:tcBorders>
              <w:top w:val="single" w:sz="8" w:space="0" w:color="4BACC6"/>
              <w:bottom w:val="single" w:sz="8" w:space="0" w:color="4BACC6"/>
            </w:tcBorders>
          </w:tcPr>
          <w:p w14:paraId="242F57FE" w14:textId="0C60E638" w:rsidR="00141452" w:rsidRPr="00D10CBB" w:rsidRDefault="005C5BBA" w:rsidP="00141452">
            <w:pPr>
              <w:bidi w:val="0"/>
              <w:spacing w:before="0" w:after="240"/>
              <w:rPr>
                <w:rFonts w:asciiTheme="majorBidi" w:hAnsiTheme="majorBidi" w:cstheme="majorBidi"/>
              </w:rPr>
            </w:pPr>
            <w:r w:rsidRPr="00D10CBB">
              <w:rPr>
                <w:rFonts w:asciiTheme="majorBidi" w:hAnsiTheme="majorBidi" w:cstheme="majorBidi"/>
              </w:rPr>
              <w:t xml:space="preserve">Martin, Jennifer L. &amp; </w:t>
            </w:r>
            <w:proofErr w:type="spellStart"/>
            <w:r w:rsidRPr="00D10CBB">
              <w:rPr>
                <w:rFonts w:asciiTheme="majorBidi" w:hAnsiTheme="majorBidi" w:cstheme="majorBidi"/>
              </w:rPr>
              <w:t>Beese</w:t>
            </w:r>
            <w:proofErr w:type="spellEnd"/>
            <w:r w:rsidRPr="00D10CBB">
              <w:rPr>
                <w:rFonts w:asciiTheme="majorBidi" w:hAnsiTheme="majorBidi" w:cstheme="majorBidi"/>
              </w:rPr>
              <w:t>, Jane A. 2016.</w:t>
            </w:r>
          </w:p>
        </w:tc>
      </w:tr>
    </w:tbl>
    <w:p w14:paraId="02AADAEC" w14:textId="77777777" w:rsidR="00BB612F" w:rsidRPr="00D10CBB" w:rsidRDefault="00BB612F" w:rsidP="00DC7FCA">
      <w:pPr>
        <w:ind w:left="360"/>
        <w:rPr>
          <w:rFonts w:asciiTheme="majorBidi" w:hAnsiTheme="majorBidi" w:cstheme="majorBidi"/>
          <w:bCs/>
          <w:rtl/>
        </w:rPr>
      </w:pPr>
    </w:p>
    <w:p w14:paraId="42C27D1F" w14:textId="6AEC9FF8" w:rsidR="00645883" w:rsidRPr="00B31643" w:rsidRDefault="00645883" w:rsidP="00B31643">
      <w:pPr>
        <w:pStyle w:val="ab"/>
        <w:numPr>
          <w:ilvl w:val="0"/>
          <w:numId w:val="5"/>
        </w:numPr>
        <w:rPr>
          <w:rFonts w:asciiTheme="majorBidi" w:hAnsiTheme="majorBidi" w:cstheme="majorBidi"/>
          <w:bCs/>
          <w:sz w:val="28"/>
          <w:szCs w:val="28"/>
          <w:rtl/>
        </w:rPr>
      </w:pPr>
      <w:r w:rsidRPr="00B31643">
        <w:rPr>
          <w:rFonts w:asciiTheme="majorBidi" w:hAnsiTheme="majorBidi" w:cstheme="majorBidi"/>
          <w:bCs/>
          <w:sz w:val="28"/>
          <w:szCs w:val="28"/>
          <w:rtl/>
        </w:rPr>
        <w:t xml:space="preserve">חובות הקורס ומרכיבי הציון הסופי: </w:t>
      </w:r>
    </w:p>
    <w:p w14:paraId="192CE8D3" w14:textId="77777777" w:rsidR="00B31643" w:rsidRPr="00B31643" w:rsidRDefault="00B31643" w:rsidP="00B31643">
      <w:pPr>
        <w:pStyle w:val="ab"/>
        <w:ind w:left="690"/>
        <w:rPr>
          <w:rFonts w:asciiTheme="majorBidi" w:hAnsiTheme="majorBidi" w:cstheme="majorBidi"/>
          <w:bCs/>
          <w:sz w:val="28"/>
          <w:szCs w:val="28"/>
          <w:rtl/>
        </w:rPr>
      </w:pPr>
    </w:p>
    <w:p w14:paraId="3A46F417" w14:textId="77777777" w:rsidR="00645883" w:rsidRPr="00B31643" w:rsidRDefault="00645883" w:rsidP="00B31643">
      <w:pPr>
        <w:pStyle w:val="a8"/>
        <w:numPr>
          <w:ilvl w:val="0"/>
          <w:numId w:val="1"/>
        </w:numPr>
        <w:bidi/>
        <w:spacing w:before="0" w:line="276" w:lineRule="auto"/>
        <w:ind w:right="720"/>
        <w:rPr>
          <w:rFonts w:asciiTheme="majorBidi" w:hAnsiTheme="majorBidi" w:cstheme="majorBidi"/>
          <w:b/>
          <w:sz w:val="26"/>
          <w:szCs w:val="26"/>
        </w:rPr>
      </w:pPr>
      <w:r w:rsidRPr="00B31643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חובת נוכחות בכיתה והשתתפות </w:t>
      </w:r>
      <w:r w:rsidR="002160A6" w:rsidRPr="00B31643">
        <w:rPr>
          <w:rFonts w:asciiTheme="majorBidi" w:hAnsiTheme="majorBidi" w:cstheme="majorBidi"/>
          <w:sz w:val="26"/>
          <w:szCs w:val="26"/>
          <w:rtl/>
          <w:lang w:eastAsia="en-US"/>
        </w:rPr>
        <w:t>ב80%</w:t>
      </w:r>
      <w:r w:rsidR="002160A6" w:rsidRPr="00B31643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2160A6" w:rsidRPr="00B31643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מ</w:t>
      </w:r>
      <w:r w:rsidRPr="00B31643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השיעורים. </w:t>
      </w:r>
    </w:p>
    <w:p w14:paraId="6F8AB8D9" w14:textId="0224B5E2" w:rsidR="007F5364" w:rsidRPr="00B31643" w:rsidRDefault="00BE116D" w:rsidP="00B31643">
      <w:pPr>
        <w:pStyle w:val="a8"/>
        <w:numPr>
          <w:ilvl w:val="0"/>
          <w:numId w:val="1"/>
        </w:numPr>
        <w:bidi/>
        <w:spacing w:before="0" w:line="276" w:lineRule="auto"/>
        <w:ind w:right="720"/>
        <w:rPr>
          <w:rFonts w:asciiTheme="majorBidi" w:hAnsiTheme="majorBidi" w:cstheme="majorBidi"/>
          <w:b/>
          <w:sz w:val="26"/>
          <w:szCs w:val="26"/>
        </w:rPr>
      </w:pPr>
      <w:r w:rsidRPr="00B31643">
        <w:rPr>
          <w:rFonts w:asciiTheme="majorBidi" w:hAnsiTheme="majorBidi" w:cstheme="majorBidi"/>
          <w:b/>
          <w:sz w:val="26"/>
          <w:szCs w:val="26"/>
          <w:rtl/>
        </w:rPr>
        <w:t>הגש</w:t>
      </w:r>
      <w:r w:rsidR="003B3C60" w:rsidRPr="00B31643">
        <w:rPr>
          <w:rFonts w:asciiTheme="majorBidi" w:hAnsiTheme="majorBidi" w:cstheme="majorBidi"/>
          <w:b/>
          <w:sz w:val="26"/>
          <w:szCs w:val="26"/>
          <w:rtl/>
        </w:rPr>
        <w:t>ה</w:t>
      </w:r>
      <w:r w:rsidR="0063699B" w:rsidRPr="00B31643">
        <w:rPr>
          <w:rFonts w:asciiTheme="majorBidi" w:hAnsiTheme="majorBidi" w:cstheme="majorBidi"/>
          <w:b/>
          <w:sz w:val="26"/>
          <w:szCs w:val="26"/>
          <w:rtl/>
        </w:rPr>
        <w:t xml:space="preserve"> של עד</w:t>
      </w:r>
      <w:r w:rsidRPr="00B31643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  <w:r w:rsidR="007F5364" w:rsidRPr="00B31643">
        <w:rPr>
          <w:rFonts w:asciiTheme="majorBidi" w:hAnsiTheme="majorBidi" w:cstheme="majorBidi"/>
          <w:b/>
          <w:sz w:val="26"/>
          <w:szCs w:val="26"/>
          <w:rtl/>
        </w:rPr>
        <w:t>4 רפלקציות על 4 שיעורים</w:t>
      </w:r>
      <w:r w:rsidR="00E74998" w:rsidRPr="00B31643">
        <w:rPr>
          <w:rFonts w:asciiTheme="majorBidi" w:hAnsiTheme="majorBidi" w:cstheme="majorBidi"/>
          <w:b/>
          <w:sz w:val="26"/>
          <w:szCs w:val="26"/>
          <w:rtl/>
        </w:rPr>
        <w:t>/מאמרים</w:t>
      </w:r>
      <w:r w:rsidR="00F223FA" w:rsidRPr="00B31643">
        <w:rPr>
          <w:rFonts w:asciiTheme="majorBidi" w:hAnsiTheme="majorBidi" w:cstheme="majorBidi"/>
          <w:b/>
          <w:sz w:val="26"/>
          <w:szCs w:val="26"/>
          <w:rtl/>
        </w:rPr>
        <w:t>.</w:t>
      </w:r>
    </w:p>
    <w:p w14:paraId="615AC11C" w14:textId="77777777" w:rsidR="0055414F" w:rsidRDefault="00645883" w:rsidP="00B31643">
      <w:pPr>
        <w:pStyle w:val="a8"/>
        <w:numPr>
          <w:ilvl w:val="0"/>
          <w:numId w:val="1"/>
        </w:numPr>
        <w:bidi/>
        <w:spacing w:before="0" w:line="276" w:lineRule="auto"/>
        <w:ind w:right="720"/>
        <w:rPr>
          <w:rFonts w:asciiTheme="majorBidi" w:hAnsiTheme="majorBidi" w:cstheme="majorBidi"/>
          <w:b/>
          <w:sz w:val="26"/>
          <w:szCs w:val="26"/>
        </w:rPr>
      </w:pPr>
      <w:r w:rsidRPr="00B31643">
        <w:rPr>
          <w:rFonts w:asciiTheme="majorBidi" w:hAnsiTheme="majorBidi" w:cstheme="majorBidi"/>
          <w:b/>
          <w:sz w:val="26"/>
          <w:szCs w:val="26"/>
          <w:rtl/>
        </w:rPr>
        <w:t xml:space="preserve">עבודת סיום. (העבודה תוגש לכל המאוחר ביום הראשון של סמסטר ב' </w:t>
      </w:r>
      <w:r w:rsidR="003D2212" w:rsidRPr="00B31643">
        <w:rPr>
          <w:rFonts w:asciiTheme="majorBidi" w:hAnsiTheme="majorBidi" w:cstheme="majorBidi"/>
          <w:b/>
          <w:sz w:val="26"/>
          <w:szCs w:val="26"/>
          <w:rtl/>
        </w:rPr>
        <w:t>7.3.2021</w:t>
      </w:r>
      <w:r w:rsidR="00BC6305" w:rsidRPr="00B31643">
        <w:rPr>
          <w:rFonts w:asciiTheme="majorBidi" w:hAnsiTheme="majorBidi" w:cstheme="majorBidi"/>
          <w:b/>
          <w:sz w:val="26"/>
          <w:szCs w:val="26"/>
          <w:rtl/>
        </w:rPr>
        <w:t xml:space="preserve">, </w:t>
      </w:r>
      <w:r w:rsidR="00800F67" w:rsidRPr="00B31643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</w:p>
    <w:p w14:paraId="4F0EEA6D" w14:textId="49231148" w:rsidR="00645883" w:rsidRPr="00B31643" w:rsidRDefault="00645883" w:rsidP="0055414F">
      <w:pPr>
        <w:pStyle w:val="a8"/>
        <w:bidi/>
        <w:spacing w:before="0" w:line="276" w:lineRule="auto"/>
        <w:ind w:left="720" w:right="720"/>
        <w:rPr>
          <w:rFonts w:asciiTheme="majorBidi" w:hAnsiTheme="majorBidi" w:cstheme="majorBidi"/>
          <w:b/>
          <w:sz w:val="26"/>
          <w:szCs w:val="26"/>
          <w:rtl/>
        </w:rPr>
      </w:pPr>
      <w:bookmarkStart w:id="1" w:name="_GoBack"/>
      <w:bookmarkEnd w:id="1"/>
      <w:r w:rsidRPr="00B31643">
        <w:rPr>
          <w:rFonts w:asciiTheme="majorBidi" w:hAnsiTheme="majorBidi" w:cstheme="majorBidi"/>
          <w:b/>
          <w:sz w:val="26"/>
          <w:szCs w:val="26"/>
          <w:rtl/>
        </w:rPr>
        <w:t>לא תתקבלנה עבודות באיחור).</w:t>
      </w:r>
    </w:p>
    <w:p w14:paraId="0A4429CC" w14:textId="77777777" w:rsidR="00645883" w:rsidRPr="00D10CBB" w:rsidRDefault="00645883" w:rsidP="00DC7FCA">
      <w:pPr>
        <w:pStyle w:val="a8"/>
        <w:bidi/>
        <w:spacing w:line="240" w:lineRule="auto"/>
        <w:ind w:left="360"/>
        <w:rPr>
          <w:rFonts w:asciiTheme="majorBidi" w:hAnsiTheme="majorBidi" w:cstheme="majorBidi"/>
          <w:b/>
          <w:rtl/>
        </w:rPr>
      </w:pPr>
    </w:p>
    <w:p w14:paraId="7404348C" w14:textId="6A39F509" w:rsidR="00645883" w:rsidRPr="00B31643" w:rsidRDefault="00B31643" w:rsidP="00DC7FCA">
      <w:pPr>
        <w:spacing w:before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1643">
        <w:rPr>
          <w:rFonts w:asciiTheme="majorBidi" w:hAnsiTheme="majorBidi" w:cstheme="majorBidi" w:hint="cs"/>
          <w:b/>
          <w:bCs/>
          <w:sz w:val="28"/>
          <w:szCs w:val="28"/>
          <w:rtl/>
        </w:rPr>
        <w:t>ד</w:t>
      </w:r>
      <w:r w:rsidR="00645883" w:rsidRPr="00B31643">
        <w:rPr>
          <w:rFonts w:asciiTheme="majorBidi" w:hAnsiTheme="majorBidi" w:cstheme="majorBidi"/>
          <w:b/>
          <w:bCs/>
          <w:sz w:val="28"/>
          <w:szCs w:val="28"/>
          <w:rtl/>
        </w:rPr>
        <w:t>. מרכיבי הציון הסופי:</w:t>
      </w:r>
    </w:p>
    <w:p w14:paraId="5F0E2581" w14:textId="55AFB2E4" w:rsidR="00A7598F" w:rsidRPr="00B31643" w:rsidRDefault="0063699B" w:rsidP="00B31643">
      <w:pPr>
        <w:pStyle w:val="ab"/>
        <w:numPr>
          <w:ilvl w:val="0"/>
          <w:numId w:val="3"/>
        </w:numPr>
        <w:spacing w:before="0" w:line="276" w:lineRule="auto"/>
        <w:rPr>
          <w:rFonts w:asciiTheme="majorBidi" w:hAnsiTheme="majorBidi" w:cstheme="majorBidi"/>
          <w:sz w:val="26"/>
          <w:szCs w:val="26"/>
        </w:rPr>
      </w:pPr>
      <w:r w:rsidRPr="00B31643">
        <w:rPr>
          <w:rFonts w:asciiTheme="majorBidi" w:hAnsiTheme="majorBidi" w:cstheme="majorBidi"/>
          <w:sz w:val="26"/>
          <w:szCs w:val="26"/>
          <w:rtl/>
        </w:rPr>
        <w:t>רפלקציה – 10%</w:t>
      </w:r>
      <w:r w:rsidR="00A7598F" w:rsidRPr="00B3164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A64B7" w:rsidRPr="00B31643">
        <w:rPr>
          <w:rFonts w:asciiTheme="majorBidi" w:hAnsiTheme="majorBidi" w:cstheme="majorBidi"/>
          <w:sz w:val="26"/>
          <w:szCs w:val="26"/>
          <w:rtl/>
        </w:rPr>
        <w:t xml:space="preserve">(4 </w:t>
      </w:r>
      <w:r w:rsidR="00A7598F" w:rsidRPr="00B31643">
        <w:rPr>
          <w:rFonts w:asciiTheme="majorBidi" w:hAnsiTheme="majorBidi" w:cstheme="majorBidi"/>
          <w:sz w:val="26"/>
          <w:szCs w:val="26"/>
          <w:rtl/>
        </w:rPr>
        <w:t>רפלקציות על 4 שיעורים</w:t>
      </w:r>
      <w:r w:rsidR="00E74998" w:rsidRPr="00B31643">
        <w:rPr>
          <w:rFonts w:asciiTheme="majorBidi" w:hAnsiTheme="majorBidi" w:cstheme="majorBidi"/>
          <w:sz w:val="26"/>
          <w:szCs w:val="26"/>
          <w:rtl/>
        </w:rPr>
        <w:t>/מאמרים</w:t>
      </w:r>
      <w:r w:rsidR="003C39A4" w:rsidRPr="00B31643">
        <w:rPr>
          <w:rFonts w:asciiTheme="majorBidi" w:hAnsiTheme="majorBidi" w:cstheme="majorBidi"/>
          <w:sz w:val="26"/>
          <w:szCs w:val="26"/>
          <w:rtl/>
        </w:rPr>
        <w:t xml:space="preserve"> -</w:t>
      </w:r>
      <w:r w:rsidR="00A7598F" w:rsidRPr="00B31643">
        <w:rPr>
          <w:rFonts w:asciiTheme="majorBidi" w:hAnsiTheme="majorBidi" w:cstheme="majorBidi"/>
          <w:sz w:val="26"/>
          <w:szCs w:val="26"/>
          <w:rtl/>
        </w:rPr>
        <w:t xml:space="preserve"> 40%.</w:t>
      </w:r>
    </w:p>
    <w:p w14:paraId="41915942" w14:textId="47BAC767" w:rsidR="00E91F45" w:rsidRPr="00B31643" w:rsidRDefault="00564B0C" w:rsidP="00B31643">
      <w:pPr>
        <w:pStyle w:val="ab"/>
        <w:numPr>
          <w:ilvl w:val="0"/>
          <w:numId w:val="3"/>
        </w:numPr>
        <w:spacing w:before="0" w:line="276" w:lineRule="auto"/>
        <w:rPr>
          <w:rFonts w:asciiTheme="majorBidi" w:hAnsiTheme="majorBidi" w:cstheme="majorBidi"/>
          <w:sz w:val="26"/>
          <w:szCs w:val="26"/>
          <w:rtl/>
        </w:rPr>
      </w:pPr>
      <w:r w:rsidRPr="00B31643">
        <w:rPr>
          <w:rFonts w:asciiTheme="majorBidi" w:hAnsiTheme="majorBidi" w:cstheme="majorBidi"/>
          <w:sz w:val="26"/>
          <w:szCs w:val="26"/>
          <w:rtl/>
        </w:rPr>
        <w:t>מטלת קורס</w:t>
      </w:r>
      <w:r w:rsidR="003C39A4" w:rsidRPr="00B3164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E42529" w:rsidRPr="00B31643">
        <w:rPr>
          <w:rFonts w:asciiTheme="majorBidi" w:hAnsiTheme="majorBidi" w:cstheme="majorBidi"/>
          <w:sz w:val="26"/>
          <w:szCs w:val="26"/>
          <w:rtl/>
        </w:rPr>
        <w:t>–</w:t>
      </w:r>
      <w:r w:rsidRPr="00B3164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E547E7" w:rsidRPr="00B31643">
        <w:rPr>
          <w:rFonts w:asciiTheme="majorBidi" w:hAnsiTheme="majorBidi" w:cstheme="majorBidi"/>
          <w:sz w:val="26"/>
          <w:szCs w:val="26"/>
          <w:rtl/>
        </w:rPr>
        <w:t>60%</w:t>
      </w:r>
      <w:r w:rsidR="00E52FE5" w:rsidRPr="00B31643">
        <w:rPr>
          <w:rFonts w:asciiTheme="majorBidi" w:hAnsiTheme="majorBidi" w:cstheme="majorBidi"/>
          <w:sz w:val="26"/>
          <w:szCs w:val="26"/>
          <w:rtl/>
        </w:rPr>
        <w:t xml:space="preserve">-90% </w:t>
      </w:r>
    </w:p>
    <w:p w14:paraId="33D1CB5F" w14:textId="77777777" w:rsidR="006B2809" w:rsidRPr="00B31643" w:rsidRDefault="00645883" w:rsidP="00B31643">
      <w:pPr>
        <w:pStyle w:val="2"/>
        <w:rPr>
          <w:rtl/>
        </w:rPr>
      </w:pPr>
      <w:r w:rsidRPr="00B31643">
        <w:rPr>
          <w:rtl/>
        </w:rPr>
        <w:lastRenderedPageBreak/>
        <w:t xml:space="preserve">ו. </w:t>
      </w:r>
      <w:r w:rsidR="006B2809" w:rsidRPr="00B31643">
        <w:rPr>
          <w:rtl/>
        </w:rPr>
        <w:t>ביבליוגרפיה: (חובה/הרחבה)</w:t>
      </w:r>
    </w:p>
    <w:p w14:paraId="1273BB47" w14:textId="77777777" w:rsidR="006B2809" w:rsidRPr="00B31643" w:rsidRDefault="006B2809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>שיעור</w:t>
      </w:r>
      <w:r w:rsidR="00F0657B" w:rsidRPr="00B31643">
        <w:rPr>
          <w:sz w:val="26"/>
          <w:szCs w:val="26"/>
          <w:rtl/>
        </w:rPr>
        <w:t>ים</w:t>
      </w:r>
      <w:r w:rsidRPr="00B31643">
        <w:rPr>
          <w:sz w:val="26"/>
          <w:szCs w:val="26"/>
          <w:rtl/>
        </w:rPr>
        <w:t xml:space="preserve"> </w:t>
      </w:r>
      <w:r w:rsidR="00F0657B" w:rsidRPr="00B31643">
        <w:rPr>
          <w:sz w:val="26"/>
          <w:szCs w:val="26"/>
          <w:rtl/>
        </w:rPr>
        <w:t xml:space="preserve"> 1 – 2 :</w:t>
      </w:r>
      <w:r w:rsidRPr="00B31643">
        <w:rPr>
          <w:sz w:val="26"/>
          <w:szCs w:val="26"/>
          <w:rtl/>
        </w:rPr>
        <w:t xml:space="preserve"> פדגוגיה פמיניסטית מתיאוריה למעשה </w:t>
      </w:r>
    </w:p>
    <w:p w14:paraId="7CE45C5F" w14:textId="77777777" w:rsidR="00D70B41" w:rsidRPr="00B31643" w:rsidRDefault="00D70B41" w:rsidP="00DC7FCA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חובה</w:t>
      </w:r>
    </w:p>
    <w:p w14:paraId="3EC92D07" w14:textId="77777777" w:rsidR="008A2A4A" w:rsidRPr="00D10CBB" w:rsidRDefault="00D70B41" w:rsidP="00B31643">
      <w:pPr>
        <w:spacing w:line="276" w:lineRule="auto"/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הוקס</w:t>
      </w:r>
      <w:proofErr w:type="spellEnd"/>
      <w:r w:rsidRPr="00D10CBB">
        <w:rPr>
          <w:rFonts w:asciiTheme="majorBidi" w:hAnsiTheme="majorBidi" w:cstheme="majorBidi"/>
          <w:rtl/>
        </w:rPr>
        <w:t xml:space="preserve"> בל. 2002. חינוך פמיניסטי לתודעה ביקורתית. </w:t>
      </w:r>
      <w:r w:rsidRPr="00D10CBB">
        <w:rPr>
          <w:rFonts w:asciiTheme="majorBidi" w:hAnsiTheme="majorBidi" w:cstheme="majorBidi"/>
          <w:i/>
          <w:iCs/>
          <w:rtl/>
        </w:rPr>
        <w:t>פמיניזם זה לכולם</w:t>
      </w:r>
      <w:r w:rsidRPr="00D10CBB">
        <w:rPr>
          <w:rFonts w:asciiTheme="majorBidi" w:hAnsiTheme="majorBidi" w:cstheme="majorBidi"/>
          <w:rtl/>
        </w:rPr>
        <w:t>, חיפה: פרדס, 31-35.</w:t>
      </w:r>
      <w:r w:rsidR="008A2A4A" w:rsidRPr="00D10CBB">
        <w:rPr>
          <w:rFonts w:asciiTheme="majorBidi" w:hAnsiTheme="majorBidi" w:cstheme="majorBidi"/>
          <w:rtl/>
        </w:rPr>
        <w:t xml:space="preserve"> </w:t>
      </w:r>
    </w:p>
    <w:p w14:paraId="17B7638A" w14:textId="2D380EEC" w:rsidR="008A2A4A" w:rsidRPr="00D10CBB" w:rsidRDefault="008A2A4A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גור זיו, חגית. 2013. </w:t>
      </w:r>
      <w:r w:rsidRPr="00D10CBB">
        <w:rPr>
          <w:rFonts w:asciiTheme="majorBidi" w:hAnsiTheme="majorBidi" w:cstheme="majorBidi"/>
          <w:i/>
          <w:iCs/>
          <w:rtl/>
        </w:rPr>
        <w:t>פדגוגיה ביקורתית – פמיניסטית וחינוך לתרבות של שלום</w:t>
      </w:r>
      <w:r w:rsidRPr="00D10CBB">
        <w:rPr>
          <w:rFonts w:asciiTheme="majorBidi" w:hAnsiTheme="majorBidi" w:cstheme="majorBidi"/>
          <w:rtl/>
        </w:rPr>
        <w:t>. תל-אביב: מכון מופת. עמ' 69 – 95.</w:t>
      </w:r>
    </w:p>
    <w:p w14:paraId="5AA13AB1" w14:textId="5B04205C" w:rsidR="006A0234" w:rsidRPr="00D10CBB" w:rsidRDefault="006A0234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 xml:space="preserve">Ali, S., Mirza, H., Phoenix, A., and Ringrose, J. 2010. Intersectionality, Black British feminism and resistance in education: a roundtable discussion. </w:t>
      </w:r>
      <w:r w:rsidRPr="00D10CBB">
        <w:rPr>
          <w:rFonts w:asciiTheme="majorBidi" w:hAnsiTheme="majorBidi" w:cstheme="majorBidi"/>
          <w:i/>
          <w:iCs/>
        </w:rPr>
        <w:t>Gender and Education</w:t>
      </w:r>
      <w:r w:rsidRPr="00D10CBB">
        <w:rPr>
          <w:rFonts w:asciiTheme="majorBidi" w:hAnsiTheme="majorBidi" w:cstheme="majorBidi"/>
        </w:rPr>
        <w:t>, Vol. 22, No. 6, 647–661</w:t>
      </w:r>
      <w:r w:rsidRPr="00D10CBB">
        <w:rPr>
          <w:rFonts w:asciiTheme="majorBidi" w:hAnsiTheme="majorBidi" w:cstheme="majorBidi"/>
          <w:rtl/>
        </w:rPr>
        <w:t>.</w:t>
      </w:r>
    </w:p>
    <w:p w14:paraId="468FAFDF" w14:textId="38897C8B" w:rsidR="00D70B41" w:rsidRPr="00D10CBB" w:rsidRDefault="00D70B41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>Sánchez-</w:t>
      </w:r>
      <w:proofErr w:type="spellStart"/>
      <w:r w:rsidRPr="00D10CBB">
        <w:rPr>
          <w:rFonts w:asciiTheme="majorBidi" w:hAnsiTheme="majorBidi" w:cstheme="majorBidi"/>
        </w:rPr>
        <w:t>Casal</w:t>
      </w:r>
      <w:proofErr w:type="spellEnd"/>
      <w:r w:rsidRPr="00D10CBB">
        <w:rPr>
          <w:rFonts w:asciiTheme="majorBidi" w:hAnsiTheme="majorBidi" w:cstheme="majorBidi"/>
        </w:rPr>
        <w:t xml:space="preserve">, S. and Macdonald, A. 2002. Feminist Reflections on the Pedagogical Relevance of Identity. In: edited by Amie A. Macdonald and Susan </w:t>
      </w:r>
      <w:proofErr w:type="spellStart"/>
      <w:r w:rsidRPr="00D10CBB">
        <w:rPr>
          <w:rFonts w:asciiTheme="majorBidi" w:hAnsiTheme="majorBidi" w:cstheme="majorBidi"/>
        </w:rPr>
        <w:t>Sa'nchez-Casal</w:t>
      </w:r>
      <w:proofErr w:type="spellEnd"/>
      <w:r w:rsidRPr="00D10CBB">
        <w:rPr>
          <w:rFonts w:asciiTheme="majorBidi" w:hAnsiTheme="majorBidi" w:cstheme="majorBidi"/>
        </w:rPr>
        <w:t xml:space="preserve">, </w:t>
      </w:r>
      <w:r w:rsidRPr="00D10CBB">
        <w:rPr>
          <w:rFonts w:asciiTheme="majorBidi" w:hAnsiTheme="majorBidi" w:cstheme="majorBidi"/>
          <w:i/>
          <w:iCs/>
        </w:rPr>
        <w:t>Twenty-First- Century Feminist Classrooms</w:t>
      </w:r>
      <w:r w:rsidRPr="00D10CBB">
        <w:rPr>
          <w:rFonts w:asciiTheme="majorBidi" w:hAnsiTheme="majorBidi" w:cstheme="majorBidi"/>
        </w:rPr>
        <w:t>. New York: Palgrave Macmillan, 1-30</w:t>
      </w:r>
      <w:r w:rsidRPr="00D10CBB">
        <w:rPr>
          <w:rFonts w:asciiTheme="majorBidi" w:hAnsiTheme="majorBidi" w:cstheme="majorBidi"/>
          <w:rtl/>
        </w:rPr>
        <w:t xml:space="preserve">. </w:t>
      </w:r>
    </w:p>
    <w:p w14:paraId="115ACEA3" w14:textId="77777777" w:rsidR="00D70B41" w:rsidRPr="00B31643" w:rsidRDefault="00D70B41" w:rsidP="00DC7FCA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63B607C6" w14:textId="06D99A4C" w:rsidR="00D70B41" w:rsidRDefault="00D70B41" w:rsidP="00DC7FCA">
      <w:pPr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מאיו</w:t>
      </w:r>
      <w:proofErr w:type="spellEnd"/>
      <w:r w:rsidRPr="00D10CBB">
        <w:rPr>
          <w:rFonts w:asciiTheme="majorBidi" w:hAnsiTheme="majorBidi" w:cstheme="majorBidi"/>
          <w:rtl/>
        </w:rPr>
        <w:t xml:space="preserve">, כריס </w:t>
      </w:r>
      <w:proofErr w:type="spellStart"/>
      <w:r w:rsidRPr="00D10CBB">
        <w:rPr>
          <w:rFonts w:asciiTheme="majorBidi" w:hAnsiTheme="majorBidi" w:cstheme="majorBidi"/>
          <w:rtl/>
        </w:rPr>
        <w:t>וסטנגל</w:t>
      </w:r>
      <w:proofErr w:type="spellEnd"/>
      <w:r w:rsidRPr="00D10CBB">
        <w:rPr>
          <w:rFonts w:asciiTheme="majorBidi" w:hAnsiTheme="majorBidi" w:cstheme="majorBidi"/>
          <w:rtl/>
        </w:rPr>
        <w:t xml:space="preserve"> ברברה. 2017. פמיניזם וחינוך. </w:t>
      </w:r>
      <w:r w:rsidRPr="00D10CBB">
        <w:rPr>
          <w:rFonts w:asciiTheme="majorBidi" w:hAnsiTheme="majorBidi" w:cstheme="majorBidi"/>
          <w:i/>
          <w:iCs/>
          <w:rtl/>
        </w:rPr>
        <w:t>פורצות גדרות</w:t>
      </w:r>
      <w:r w:rsidRPr="00D10CBB">
        <w:rPr>
          <w:rFonts w:asciiTheme="majorBidi" w:hAnsiTheme="majorBidi" w:cstheme="majorBidi"/>
          <w:rtl/>
        </w:rPr>
        <w:t xml:space="preserve">. עורכות: דינה חרובי </w:t>
      </w:r>
      <w:proofErr w:type="spellStart"/>
      <w:r w:rsidRPr="00D10CBB">
        <w:rPr>
          <w:rFonts w:asciiTheme="majorBidi" w:hAnsiTheme="majorBidi" w:cstheme="majorBidi"/>
          <w:rtl/>
        </w:rPr>
        <w:t>וטלילה</w:t>
      </w:r>
      <w:proofErr w:type="spellEnd"/>
      <w:r w:rsidRPr="00D10CBB">
        <w:rPr>
          <w:rFonts w:asciiTheme="majorBidi" w:hAnsiTheme="majorBidi" w:cstheme="majorBidi"/>
          <w:rtl/>
        </w:rPr>
        <w:t xml:space="preserve"> קוש-זוהר,47-70.</w:t>
      </w:r>
    </w:p>
    <w:p w14:paraId="6501191E" w14:textId="77777777" w:rsidR="00B31643" w:rsidRPr="00D10CBB" w:rsidRDefault="00B31643" w:rsidP="00DC7FCA">
      <w:pPr>
        <w:rPr>
          <w:rFonts w:asciiTheme="majorBidi" w:hAnsiTheme="majorBidi" w:cstheme="majorBidi"/>
          <w:rtl/>
        </w:rPr>
      </w:pPr>
    </w:p>
    <w:p w14:paraId="3A98774A" w14:textId="77777777" w:rsidR="00AB3A4C" w:rsidRPr="00D10CBB" w:rsidRDefault="00AB3A4C" w:rsidP="00DC7FCA">
      <w:pPr>
        <w:rPr>
          <w:rFonts w:asciiTheme="majorBidi" w:hAnsiTheme="majorBidi" w:cstheme="majorBidi"/>
          <w:rtl/>
        </w:rPr>
      </w:pPr>
    </w:p>
    <w:p w14:paraId="014FC34B" w14:textId="0CF7508B" w:rsidR="006B2809" w:rsidRPr="00B31643" w:rsidRDefault="006B2809" w:rsidP="00B31643">
      <w:pPr>
        <w:bidi w:val="0"/>
        <w:spacing w:before="0" w:after="200" w:line="276" w:lineRule="auto"/>
        <w:jc w:val="right"/>
        <w:rPr>
          <w:rFonts w:asciiTheme="majorBidi" w:eastAsiaTheme="majorEastAsia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שיעור</w:t>
      </w:r>
      <w:r w:rsidR="005C0E46" w:rsidRPr="00B31643">
        <w:rPr>
          <w:rFonts w:asciiTheme="majorBidi" w:hAnsiTheme="majorBidi" w:cstheme="majorBidi"/>
          <w:b/>
          <w:bCs/>
          <w:sz w:val="26"/>
          <w:szCs w:val="26"/>
          <w:rtl/>
        </w:rPr>
        <w:t>ים</w:t>
      </w: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D70B41"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5C0E46" w:rsidRPr="00B31643">
        <w:rPr>
          <w:rFonts w:asciiTheme="majorBidi" w:hAnsiTheme="majorBidi" w:cstheme="majorBidi"/>
          <w:b/>
          <w:bCs/>
          <w:sz w:val="26"/>
          <w:szCs w:val="26"/>
          <w:rtl/>
        </w:rPr>
        <w:t>3 - 4</w:t>
      </w: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: </w:t>
      </w:r>
      <w:r w:rsidR="00CA26EE"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הטמעת שוויון מגדרי</w:t>
      </w:r>
      <w:r w:rsidR="00D90394"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D56DD0" w:rsidRPr="00B31643">
        <w:rPr>
          <w:rFonts w:asciiTheme="majorBidi" w:hAnsiTheme="majorBidi" w:cstheme="majorBidi"/>
          <w:b/>
          <w:bCs/>
          <w:sz w:val="26"/>
          <w:szCs w:val="26"/>
          <w:rtl/>
        </w:rPr>
        <w:t>בחינוך</w:t>
      </w:r>
    </w:p>
    <w:p w14:paraId="6C03BC55" w14:textId="77777777" w:rsidR="00582816" w:rsidRPr="00B31643" w:rsidRDefault="00582816" w:rsidP="00DC7FCA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חובה</w:t>
      </w:r>
    </w:p>
    <w:p w14:paraId="665CE989" w14:textId="77777777" w:rsidR="00D70B41" w:rsidRPr="00D10CBB" w:rsidRDefault="00730807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אדן, דבורה. 2011. מדיניות שוויון בין המינים במערכת החינוך: השפעות, עיצוב, יישום. </w:t>
      </w:r>
      <w:r w:rsidRPr="00D10CBB">
        <w:rPr>
          <w:rFonts w:asciiTheme="majorBidi" w:hAnsiTheme="majorBidi" w:cstheme="majorBidi"/>
          <w:i/>
          <w:iCs/>
          <w:rtl/>
        </w:rPr>
        <w:t>עיונים בחינוך</w:t>
      </w:r>
      <w:r w:rsidRPr="00D10CBB">
        <w:rPr>
          <w:rFonts w:asciiTheme="majorBidi" w:hAnsiTheme="majorBidi" w:cstheme="majorBidi"/>
          <w:rtl/>
        </w:rPr>
        <w:t>, 4, 124-143.</w:t>
      </w:r>
    </w:p>
    <w:p w14:paraId="15781E4A" w14:textId="760099A9" w:rsidR="00893B64" w:rsidRPr="00D10CBB" w:rsidRDefault="00893B64" w:rsidP="00B31643">
      <w:pPr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</w:rPr>
        <w:t>Unterhalter</w:t>
      </w:r>
      <w:proofErr w:type="spellEnd"/>
      <w:r w:rsidRPr="00D10CBB">
        <w:rPr>
          <w:rFonts w:asciiTheme="majorBidi" w:hAnsiTheme="majorBidi" w:cstheme="majorBidi"/>
        </w:rPr>
        <w:t xml:space="preserve">, E. &amp; North, A. 2010. Assessing gender mainstreaming in the education sector: </w:t>
      </w:r>
      <w:proofErr w:type="spellStart"/>
      <w:r w:rsidRPr="00D10CBB">
        <w:rPr>
          <w:rFonts w:asciiTheme="majorBidi" w:hAnsiTheme="majorBidi" w:cstheme="majorBidi"/>
        </w:rPr>
        <w:t>depoliticised</w:t>
      </w:r>
      <w:proofErr w:type="spellEnd"/>
      <w:r w:rsidRPr="00D10CBB">
        <w:rPr>
          <w:rFonts w:asciiTheme="majorBidi" w:hAnsiTheme="majorBidi" w:cstheme="majorBidi"/>
        </w:rPr>
        <w:t xml:space="preserve"> technique or a step towards women’s rights and gender </w:t>
      </w:r>
      <w:proofErr w:type="gramStart"/>
      <w:r w:rsidRPr="00D10CBB">
        <w:rPr>
          <w:rFonts w:asciiTheme="majorBidi" w:hAnsiTheme="majorBidi" w:cstheme="majorBidi"/>
        </w:rPr>
        <w:t>equality?.</w:t>
      </w:r>
      <w:proofErr w:type="gramEnd"/>
      <w:r w:rsidRPr="00D10CBB">
        <w:rPr>
          <w:rFonts w:asciiTheme="majorBidi" w:hAnsiTheme="majorBidi" w:cstheme="majorBidi"/>
        </w:rPr>
        <w:t xml:space="preserve"> </w:t>
      </w:r>
      <w:r w:rsidRPr="00D10CBB">
        <w:rPr>
          <w:rFonts w:asciiTheme="majorBidi" w:hAnsiTheme="majorBidi" w:cstheme="majorBidi"/>
          <w:i/>
          <w:iCs/>
        </w:rPr>
        <w:t>Compare</w:t>
      </w:r>
      <w:r w:rsidRPr="00D10CBB">
        <w:rPr>
          <w:rFonts w:asciiTheme="majorBidi" w:hAnsiTheme="majorBidi" w:cstheme="majorBidi"/>
        </w:rPr>
        <w:t>, Vol. 40, No. 4, 389–404.</w:t>
      </w:r>
    </w:p>
    <w:p w14:paraId="1013E228" w14:textId="3B08B075" w:rsidR="00F42217" w:rsidRPr="00D10CBB" w:rsidRDefault="00F42217" w:rsidP="00B31643">
      <w:pPr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</w:rPr>
        <w:t>Malins</w:t>
      </w:r>
      <w:proofErr w:type="spellEnd"/>
      <w:r w:rsidRPr="00D10CBB">
        <w:rPr>
          <w:rFonts w:asciiTheme="majorBidi" w:hAnsiTheme="majorBidi" w:cstheme="majorBidi"/>
        </w:rPr>
        <w:t>, Pamela. 2016. How inclusive is “inclusive education” in the Ontario elementary classroom</w:t>
      </w:r>
      <w:proofErr w:type="gramStart"/>
      <w:r w:rsidRPr="00D10CBB">
        <w:rPr>
          <w:rFonts w:asciiTheme="majorBidi" w:hAnsiTheme="majorBidi" w:cstheme="majorBidi"/>
        </w:rPr>
        <w:t>? :</w:t>
      </w:r>
      <w:proofErr w:type="gramEnd"/>
      <w:r w:rsidRPr="00D10CBB">
        <w:rPr>
          <w:rFonts w:asciiTheme="majorBidi" w:hAnsiTheme="majorBidi" w:cstheme="majorBidi"/>
        </w:rPr>
        <w:t xml:space="preserve"> Teachers talk about addressing diverse gender and sexual identities, </w:t>
      </w:r>
      <w:r w:rsidRPr="00D10CBB">
        <w:rPr>
          <w:rFonts w:asciiTheme="majorBidi" w:hAnsiTheme="majorBidi" w:cstheme="majorBidi"/>
          <w:i/>
          <w:iCs/>
        </w:rPr>
        <w:t>Teaching and Teacher Education</w:t>
      </w:r>
      <w:r w:rsidRPr="00D10CBB">
        <w:rPr>
          <w:rFonts w:asciiTheme="majorBidi" w:hAnsiTheme="majorBidi" w:cstheme="majorBidi"/>
        </w:rPr>
        <w:t>, Volume 54, Pages 128-138.</w:t>
      </w:r>
    </w:p>
    <w:p w14:paraId="23B16F47" w14:textId="77777777" w:rsidR="00F42217" w:rsidRPr="00D10CBB" w:rsidRDefault="00F42217" w:rsidP="00F42217">
      <w:pPr>
        <w:bidi w:val="0"/>
        <w:rPr>
          <w:rFonts w:asciiTheme="majorBidi" w:hAnsiTheme="majorBidi" w:cstheme="majorBidi"/>
        </w:rPr>
      </w:pPr>
    </w:p>
    <w:p w14:paraId="3C2EB77A" w14:textId="570CCFCE" w:rsidR="00730807" w:rsidRPr="00B31643" w:rsidRDefault="006571E1" w:rsidP="00DC7FCA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17150793" w14:textId="27189080" w:rsidR="003830C0" w:rsidRPr="00D10CBB" w:rsidRDefault="00B10DE0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אבגר, עדו. 2017. </w:t>
      </w:r>
      <w:r w:rsidR="006571E1" w:rsidRPr="00D10CBB">
        <w:rPr>
          <w:rFonts w:asciiTheme="majorBidi" w:hAnsiTheme="majorBidi" w:cstheme="majorBidi"/>
          <w:rtl/>
        </w:rPr>
        <w:t xml:space="preserve">מדיניות לקידום שוויון מגדרי במערכת </w:t>
      </w:r>
      <w:r w:rsidRPr="00D10CBB">
        <w:rPr>
          <w:rFonts w:asciiTheme="majorBidi" w:hAnsiTheme="majorBidi" w:cstheme="majorBidi"/>
          <w:rtl/>
        </w:rPr>
        <w:t xml:space="preserve">החינוך - </w:t>
      </w:r>
      <w:r w:rsidR="006571E1" w:rsidRPr="00D10CBB">
        <w:rPr>
          <w:rFonts w:asciiTheme="majorBidi" w:hAnsiTheme="majorBidi" w:cstheme="majorBidi"/>
          <w:rtl/>
        </w:rPr>
        <w:t>סקירה משווה</w:t>
      </w:r>
      <w:r w:rsidRPr="00D10CBB">
        <w:rPr>
          <w:rFonts w:asciiTheme="majorBidi" w:hAnsiTheme="majorBidi" w:cstheme="majorBidi"/>
          <w:rtl/>
        </w:rPr>
        <w:t xml:space="preserve">. </w:t>
      </w:r>
      <w:r w:rsidR="003830C0" w:rsidRPr="00D10CBB">
        <w:rPr>
          <w:rFonts w:asciiTheme="majorBidi" w:hAnsiTheme="majorBidi" w:cstheme="majorBidi"/>
          <w:rtl/>
        </w:rPr>
        <w:t>הכנסת, מרכז המחקר והמידע</w:t>
      </w:r>
      <w:r w:rsidR="00D73EB1" w:rsidRPr="00D10CBB">
        <w:rPr>
          <w:rFonts w:asciiTheme="majorBidi" w:hAnsiTheme="majorBidi" w:cstheme="majorBidi"/>
          <w:rtl/>
        </w:rPr>
        <w:t>, ירושלים.</w:t>
      </w:r>
      <w:r w:rsidR="003830C0" w:rsidRPr="00D10CBB">
        <w:rPr>
          <w:rFonts w:asciiTheme="majorBidi" w:hAnsiTheme="majorBidi" w:cstheme="majorBidi"/>
          <w:rtl/>
        </w:rPr>
        <w:t xml:space="preserve"> </w:t>
      </w:r>
    </w:p>
    <w:p w14:paraId="746C33EC" w14:textId="2C15B387" w:rsidR="00A65204" w:rsidRPr="00D10CBB" w:rsidRDefault="00A65204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>file:///C:/Users/aliza/OneDrive/Documents</w:t>
      </w:r>
      <w:r w:rsidRPr="00D10CBB">
        <w:rPr>
          <w:rFonts w:asciiTheme="majorBidi" w:hAnsiTheme="majorBidi" w:cstheme="majorBidi"/>
          <w:rtl/>
        </w:rPr>
        <w:t>/בר%20אילן/דוח%20כנסת%20על%20שוויון%20מגדרי%20בחינוך%202017.</w:t>
      </w:r>
      <w:r w:rsidRPr="00D10CBB">
        <w:rPr>
          <w:rFonts w:asciiTheme="majorBidi" w:hAnsiTheme="majorBidi" w:cstheme="majorBidi"/>
        </w:rPr>
        <w:t>pdf</w:t>
      </w:r>
      <w:r w:rsidRPr="00D10CBB">
        <w:rPr>
          <w:rFonts w:asciiTheme="majorBidi" w:hAnsiTheme="majorBidi" w:cstheme="majorBidi"/>
          <w:rtl/>
        </w:rPr>
        <w:cr/>
      </w:r>
    </w:p>
    <w:p w14:paraId="68815437" w14:textId="77777777" w:rsidR="001C33AD" w:rsidRPr="00D10CBB" w:rsidRDefault="001C33AD" w:rsidP="00B31643">
      <w:pPr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  <w:rtl/>
        </w:rPr>
        <w:t>שקדיאל</w:t>
      </w:r>
      <w:proofErr w:type="spellEnd"/>
      <w:r w:rsidRPr="00D10CBB">
        <w:rPr>
          <w:rFonts w:asciiTheme="majorBidi" w:hAnsiTheme="majorBidi" w:cstheme="majorBidi"/>
          <w:rtl/>
        </w:rPr>
        <w:t>, לאה. 2004. פמיניזם וחינוך חשיפת הפער המגדרי. בתוך: דפנה גולן-עגנון, אי שוויון בחינוך. תל אביב: הוצאת בבל. עמ'  93-112</w:t>
      </w:r>
      <w:r w:rsidRPr="00D10CBB">
        <w:rPr>
          <w:rFonts w:asciiTheme="majorBidi" w:hAnsiTheme="majorBidi" w:cstheme="majorBidi"/>
        </w:rPr>
        <w:t xml:space="preserve">. </w:t>
      </w:r>
    </w:p>
    <w:p w14:paraId="1E6FA591" w14:textId="7505D4D6" w:rsidR="004957C4" w:rsidRPr="00D10CBB" w:rsidRDefault="00DF0ABD" w:rsidP="00B31643">
      <w:pPr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</w:rPr>
        <w:t>Slatera</w:t>
      </w:r>
      <w:proofErr w:type="spellEnd"/>
      <w:r w:rsidRPr="00D10CBB">
        <w:rPr>
          <w:rFonts w:asciiTheme="majorBidi" w:hAnsiTheme="majorBidi" w:cstheme="majorBidi"/>
        </w:rPr>
        <w:t xml:space="preserve">, </w:t>
      </w:r>
      <w:proofErr w:type="gramStart"/>
      <w:r w:rsidR="002F554A" w:rsidRPr="00D10CBB">
        <w:rPr>
          <w:rFonts w:asciiTheme="majorBidi" w:hAnsiTheme="majorBidi" w:cstheme="majorBidi"/>
        </w:rPr>
        <w:t>Jenny ,</w:t>
      </w:r>
      <w:proofErr w:type="gramEnd"/>
      <w:r w:rsidR="002F554A" w:rsidRPr="00D10CBB">
        <w:rPr>
          <w:rFonts w:asciiTheme="majorBidi" w:hAnsiTheme="majorBidi" w:cstheme="majorBidi"/>
        </w:rPr>
        <w:t xml:space="preserve"> </w:t>
      </w:r>
      <w:proofErr w:type="spellStart"/>
      <w:r w:rsidRPr="00D10CBB">
        <w:rPr>
          <w:rFonts w:asciiTheme="majorBidi" w:hAnsiTheme="majorBidi" w:cstheme="majorBidi"/>
        </w:rPr>
        <w:t>Jonesb</w:t>
      </w:r>
      <w:proofErr w:type="spellEnd"/>
      <w:r w:rsidRPr="00D10CBB">
        <w:rPr>
          <w:rFonts w:asciiTheme="majorBidi" w:hAnsiTheme="majorBidi" w:cstheme="majorBidi"/>
        </w:rPr>
        <w:t xml:space="preserve"> </w:t>
      </w:r>
      <w:r w:rsidR="002F554A" w:rsidRPr="00D10CBB">
        <w:rPr>
          <w:rFonts w:asciiTheme="majorBidi" w:hAnsiTheme="majorBidi" w:cstheme="majorBidi"/>
        </w:rPr>
        <w:t xml:space="preserve">Charlotte and </w:t>
      </w:r>
      <w:r w:rsidRPr="00D10CBB">
        <w:rPr>
          <w:rFonts w:asciiTheme="majorBidi" w:hAnsiTheme="majorBidi" w:cstheme="majorBidi"/>
        </w:rPr>
        <w:t xml:space="preserve">Procter </w:t>
      </w:r>
      <w:r w:rsidR="002F554A" w:rsidRPr="00D10CBB">
        <w:rPr>
          <w:rFonts w:asciiTheme="majorBidi" w:hAnsiTheme="majorBidi" w:cstheme="majorBidi"/>
        </w:rPr>
        <w:t xml:space="preserve">Lisa. </w:t>
      </w:r>
      <w:r w:rsidR="002F22DF" w:rsidRPr="00D10CBB">
        <w:rPr>
          <w:rFonts w:asciiTheme="majorBidi" w:hAnsiTheme="majorBidi" w:cstheme="majorBidi"/>
        </w:rPr>
        <w:t xml:space="preserve">2018. School toilets: queer, disabled bodies and gendered lessons of embodiment, </w:t>
      </w:r>
      <w:r w:rsidR="001424A1" w:rsidRPr="00D10CBB">
        <w:rPr>
          <w:rFonts w:asciiTheme="majorBidi" w:hAnsiTheme="majorBidi" w:cstheme="majorBidi"/>
          <w:i/>
          <w:iCs/>
        </w:rPr>
        <w:t>G</w:t>
      </w:r>
      <w:r w:rsidR="005104A1" w:rsidRPr="00D10CBB">
        <w:rPr>
          <w:rFonts w:asciiTheme="majorBidi" w:hAnsiTheme="majorBidi" w:cstheme="majorBidi"/>
          <w:i/>
          <w:iCs/>
        </w:rPr>
        <w:t>ender and</w:t>
      </w:r>
      <w:r w:rsidR="001424A1" w:rsidRPr="00D10CBB">
        <w:rPr>
          <w:rFonts w:asciiTheme="majorBidi" w:hAnsiTheme="majorBidi" w:cstheme="majorBidi"/>
          <w:i/>
          <w:iCs/>
        </w:rPr>
        <w:t xml:space="preserve"> E</w:t>
      </w:r>
      <w:r w:rsidR="005104A1" w:rsidRPr="00D10CBB">
        <w:rPr>
          <w:rFonts w:asciiTheme="majorBidi" w:hAnsiTheme="majorBidi" w:cstheme="majorBidi"/>
          <w:i/>
          <w:iCs/>
        </w:rPr>
        <w:t>ducation</w:t>
      </w:r>
      <w:r w:rsidR="001424A1" w:rsidRPr="00D10CBB">
        <w:rPr>
          <w:rFonts w:asciiTheme="majorBidi" w:hAnsiTheme="majorBidi" w:cstheme="majorBidi"/>
        </w:rPr>
        <w:t xml:space="preserve">, </w:t>
      </w:r>
      <w:r w:rsidR="005104A1" w:rsidRPr="00D10CBB">
        <w:rPr>
          <w:rFonts w:asciiTheme="majorBidi" w:hAnsiTheme="majorBidi" w:cstheme="majorBidi"/>
        </w:rPr>
        <w:t>vol</w:t>
      </w:r>
      <w:r w:rsidR="001424A1" w:rsidRPr="00D10CBB">
        <w:rPr>
          <w:rFonts w:asciiTheme="majorBidi" w:hAnsiTheme="majorBidi" w:cstheme="majorBidi"/>
        </w:rPr>
        <w:t xml:space="preserve">. 30, </w:t>
      </w:r>
      <w:r w:rsidR="005104A1" w:rsidRPr="00D10CBB">
        <w:rPr>
          <w:rFonts w:asciiTheme="majorBidi" w:hAnsiTheme="majorBidi" w:cstheme="majorBidi"/>
        </w:rPr>
        <w:t>no</w:t>
      </w:r>
      <w:r w:rsidR="001424A1" w:rsidRPr="00D10CBB">
        <w:rPr>
          <w:rFonts w:asciiTheme="majorBidi" w:hAnsiTheme="majorBidi" w:cstheme="majorBidi"/>
        </w:rPr>
        <w:t>. 8, 951–965</w:t>
      </w:r>
      <w:r w:rsidR="009B2203" w:rsidRPr="00D10CBB">
        <w:rPr>
          <w:rFonts w:asciiTheme="majorBidi" w:hAnsiTheme="majorBidi" w:cstheme="majorBidi"/>
        </w:rPr>
        <w:t xml:space="preserve"> </w:t>
      </w:r>
      <w:r w:rsidR="001424A1" w:rsidRPr="00D10CBB">
        <w:rPr>
          <w:rFonts w:asciiTheme="majorBidi" w:hAnsiTheme="majorBidi" w:cstheme="majorBidi"/>
        </w:rPr>
        <w:t>https://doi.org/10.1080/09540253.2016.1270421</w:t>
      </w:r>
    </w:p>
    <w:p w14:paraId="52158EE3" w14:textId="77777777" w:rsidR="002F554A" w:rsidRPr="00D10CBB" w:rsidRDefault="002F554A" w:rsidP="00B31643">
      <w:pPr>
        <w:bidi w:val="0"/>
        <w:spacing w:line="276" w:lineRule="auto"/>
        <w:rPr>
          <w:rFonts w:asciiTheme="majorBidi" w:hAnsiTheme="majorBidi" w:cstheme="majorBidi"/>
          <w:rtl/>
        </w:rPr>
      </w:pPr>
    </w:p>
    <w:p w14:paraId="67419ECE" w14:textId="40EB502D" w:rsidR="00730807" w:rsidRPr="00B31643" w:rsidRDefault="006B2809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lastRenderedPageBreak/>
        <w:t xml:space="preserve">שיעורים </w:t>
      </w:r>
      <w:r w:rsidR="005C0E46" w:rsidRPr="00B31643">
        <w:rPr>
          <w:sz w:val="26"/>
          <w:szCs w:val="26"/>
          <w:rtl/>
        </w:rPr>
        <w:t>5 - 6</w:t>
      </w:r>
      <w:r w:rsidRPr="00B31643">
        <w:rPr>
          <w:sz w:val="26"/>
          <w:szCs w:val="26"/>
          <w:rtl/>
        </w:rPr>
        <w:t xml:space="preserve">: </w:t>
      </w:r>
      <w:r w:rsidR="00730807" w:rsidRPr="00B31643">
        <w:rPr>
          <w:sz w:val="26"/>
          <w:szCs w:val="26"/>
          <w:rtl/>
        </w:rPr>
        <w:t xml:space="preserve">פמיניזציה של ההוראה והפרטת מערכת החינוך </w:t>
      </w:r>
    </w:p>
    <w:p w14:paraId="5B763CB8" w14:textId="77777777" w:rsidR="00582816" w:rsidRPr="00B31643" w:rsidRDefault="00582816" w:rsidP="00B31643">
      <w:pPr>
        <w:spacing w:line="276" w:lineRule="auto"/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  <w:t>חובה</w:t>
      </w:r>
    </w:p>
    <w:p w14:paraId="21F9BF14" w14:textId="2F3576E7" w:rsidR="00D43316" w:rsidRPr="00D10CBB" w:rsidRDefault="00932CB5" w:rsidP="00B31643">
      <w:pPr>
        <w:bidi w:val="0"/>
        <w:spacing w:line="276" w:lineRule="auto"/>
        <w:rPr>
          <w:rFonts w:asciiTheme="majorBidi" w:hAnsiTheme="majorBidi" w:cstheme="majorBidi"/>
          <w:snapToGrid w:val="0"/>
        </w:rPr>
      </w:pPr>
      <w:r w:rsidRPr="00D10CBB">
        <w:rPr>
          <w:rFonts w:asciiTheme="majorBidi" w:hAnsiTheme="majorBidi" w:cstheme="majorBidi"/>
          <w:snapToGrid w:val="0"/>
        </w:rPr>
        <w:t>Moreau, Marie-Pierre. 2</w:t>
      </w:r>
      <w:r w:rsidR="00C23F85" w:rsidRPr="00D10CBB">
        <w:rPr>
          <w:rFonts w:asciiTheme="majorBidi" w:hAnsiTheme="majorBidi" w:cstheme="majorBidi"/>
          <w:snapToGrid w:val="0"/>
        </w:rPr>
        <w:t>019.</w:t>
      </w:r>
      <w:r w:rsidR="00711972" w:rsidRPr="00D10CBB">
        <w:rPr>
          <w:rFonts w:asciiTheme="majorBidi" w:hAnsiTheme="majorBidi" w:cstheme="majorBidi"/>
          <w:snapToGrid w:val="0"/>
        </w:rPr>
        <w:t xml:space="preserve"> </w:t>
      </w:r>
      <w:r w:rsidR="007D5074" w:rsidRPr="00D10CBB">
        <w:rPr>
          <w:rFonts w:asciiTheme="majorBidi" w:hAnsiTheme="majorBidi" w:cstheme="majorBidi"/>
          <w:snapToGrid w:val="0"/>
        </w:rPr>
        <w:t xml:space="preserve">Introduction, </w:t>
      </w:r>
      <w:r w:rsidR="00711972" w:rsidRPr="00D10CBB">
        <w:rPr>
          <w:rFonts w:asciiTheme="majorBidi" w:hAnsiTheme="majorBidi" w:cstheme="majorBidi"/>
          <w:i/>
          <w:iCs/>
          <w:snapToGrid w:val="0"/>
        </w:rPr>
        <w:t xml:space="preserve">Teachers, Gender and the </w:t>
      </w:r>
      <w:proofErr w:type="spellStart"/>
      <w:r w:rsidR="00711972" w:rsidRPr="00D10CBB">
        <w:rPr>
          <w:rFonts w:asciiTheme="majorBidi" w:hAnsiTheme="majorBidi" w:cstheme="majorBidi"/>
          <w:i/>
          <w:iCs/>
          <w:snapToGrid w:val="0"/>
        </w:rPr>
        <w:t>Feminisation</w:t>
      </w:r>
      <w:proofErr w:type="spellEnd"/>
      <w:r w:rsidR="00711972" w:rsidRPr="00D10CBB">
        <w:rPr>
          <w:rFonts w:asciiTheme="majorBidi" w:hAnsiTheme="majorBidi" w:cstheme="majorBidi"/>
          <w:i/>
          <w:iCs/>
          <w:snapToGrid w:val="0"/>
        </w:rPr>
        <w:t xml:space="preserve"> Debate</w:t>
      </w:r>
      <w:r w:rsidR="009B2CFC" w:rsidRPr="00D10CBB">
        <w:rPr>
          <w:rFonts w:asciiTheme="majorBidi" w:hAnsiTheme="majorBidi" w:cstheme="majorBidi"/>
          <w:snapToGrid w:val="0"/>
        </w:rPr>
        <w:t xml:space="preserve">. </w:t>
      </w:r>
      <w:r w:rsidR="00D43316" w:rsidRPr="00D10CBB">
        <w:rPr>
          <w:rFonts w:asciiTheme="majorBidi" w:hAnsiTheme="majorBidi" w:cstheme="majorBidi"/>
          <w:snapToGrid w:val="0"/>
        </w:rPr>
        <w:t>Taylor &amp; Francis</w:t>
      </w:r>
      <w:r w:rsidR="00D43316" w:rsidRPr="00D10CBB">
        <w:rPr>
          <w:rFonts w:asciiTheme="majorBidi" w:hAnsiTheme="majorBidi" w:cstheme="majorBidi"/>
          <w:snapToGrid w:val="0"/>
          <w:rtl/>
        </w:rPr>
        <w:t xml:space="preserve"> </w:t>
      </w:r>
      <w:r w:rsidR="00D43316" w:rsidRPr="00D10CBB">
        <w:rPr>
          <w:rFonts w:asciiTheme="majorBidi" w:hAnsiTheme="majorBidi" w:cstheme="majorBidi"/>
          <w:snapToGrid w:val="0"/>
        </w:rPr>
        <w:t>Group</w:t>
      </w:r>
      <w:r w:rsidR="0074541A" w:rsidRPr="00D10CBB">
        <w:rPr>
          <w:rFonts w:asciiTheme="majorBidi" w:hAnsiTheme="majorBidi" w:cstheme="majorBidi"/>
          <w:snapToGrid w:val="0"/>
        </w:rPr>
        <w:t>,</w:t>
      </w:r>
      <w:r w:rsidR="00C4302D" w:rsidRPr="00D10CBB">
        <w:rPr>
          <w:rFonts w:asciiTheme="majorBidi" w:hAnsiTheme="majorBidi" w:cstheme="majorBidi"/>
          <w:snapToGrid w:val="0"/>
        </w:rPr>
        <w:t xml:space="preserve"> </w:t>
      </w:r>
      <w:r w:rsidR="00CE7BCC" w:rsidRPr="00D10CBB">
        <w:rPr>
          <w:rFonts w:asciiTheme="majorBidi" w:hAnsiTheme="majorBidi" w:cstheme="majorBidi"/>
          <w:snapToGrid w:val="0"/>
        </w:rPr>
        <w:t>England &amp; Wales</w:t>
      </w:r>
      <w:r w:rsidR="00C64127" w:rsidRPr="00D10CBB">
        <w:rPr>
          <w:rFonts w:asciiTheme="majorBidi" w:hAnsiTheme="majorBidi" w:cstheme="majorBidi"/>
          <w:snapToGrid w:val="0"/>
        </w:rPr>
        <w:t>.</w:t>
      </w:r>
      <w:r w:rsidR="0074541A" w:rsidRPr="00D10CBB">
        <w:rPr>
          <w:rFonts w:asciiTheme="majorBidi" w:hAnsiTheme="majorBidi" w:cstheme="majorBidi"/>
          <w:snapToGrid w:val="0"/>
        </w:rPr>
        <w:t xml:space="preserve"> P.</w:t>
      </w:r>
      <w:r w:rsidR="0018457C" w:rsidRPr="00D10CBB">
        <w:rPr>
          <w:rFonts w:asciiTheme="majorBidi" w:hAnsiTheme="majorBidi" w:cstheme="majorBidi"/>
          <w:snapToGrid w:val="0"/>
        </w:rPr>
        <w:t xml:space="preserve"> 1-14</w:t>
      </w:r>
    </w:p>
    <w:p w14:paraId="178DEC73" w14:textId="77777777" w:rsidR="00FF474E" w:rsidRPr="00D10CBB" w:rsidRDefault="00FF474E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Style w:val="Hyperlink"/>
          <w:rFonts w:asciiTheme="majorBidi" w:eastAsiaTheme="majorEastAsia" w:hAnsiTheme="majorBidi" w:cstheme="majorBidi"/>
          <w:bCs/>
          <w:color w:val="auto"/>
          <w:u w:val="none"/>
        </w:rPr>
        <w:t xml:space="preserve">Watts, Ruth. 2013. Society, Education and the State:  Gender Perspectives on an Old Debate. </w:t>
      </w:r>
      <w:proofErr w:type="spellStart"/>
      <w:r w:rsidRPr="00D10CBB">
        <w:rPr>
          <w:rStyle w:val="Hyperlink"/>
          <w:rFonts w:asciiTheme="majorBidi" w:eastAsiaTheme="majorEastAsia" w:hAnsiTheme="majorBidi" w:cstheme="majorBidi"/>
          <w:bCs/>
          <w:i/>
          <w:iCs/>
          <w:color w:val="auto"/>
          <w:u w:val="none"/>
        </w:rPr>
        <w:t>Paedagogica</w:t>
      </w:r>
      <w:proofErr w:type="spellEnd"/>
      <w:r w:rsidRPr="00D10CBB">
        <w:rPr>
          <w:rStyle w:val="Hyperlink"/>
          <w:rFonts w:asciiTheme="majorBidi" w:eastAsiaTheme="majorEastAsia" w:hAnsiTheme="majorBidi" w:cstheme="majorBidi"/>
          <w:bCs/>
          <w:i/>
          <w:iCs/>
          <w:color w:val="auto"/>
          <w:u w:val="none"/>
        </w:rPr>
        <w:t xml:space="preserve"> </w:t>
      </w:r>
      <w:proofErr w:type="spellStart"/>
      <w:r w:rsidRPr="00D10CBB">
        <w:rPr>
          <w:rStyle w:val="Hyperlink"/>
          <w:rFonts w:asciiTheme="majorBidi" w:eastAsiaTheme="majorEastAsia" w:hAnsiTheme="majorBidi" w:cstheme="majorBidi"/>
          <w:bCs/>
          <w:i/>
          <w:iCs/>
          <w:color w:val="auto"/>
          <w:u w:val="none"/>
        </w:rPr>
        <w:t>Historica</w:t>
      </w:r>
      <w:proofErr w:type="spellEnd"/>
      <w:r w:rsidRPr="00D10CBB">
        <w:rPr>
          <w:rStyle w:val="Hyperlink"/>
          <w:rFonts w:asciiTheme="majorBidi" w:eastAsiaTheme="majorEastAsia" w:hAnsiTheme="majorBidi" w:cstheme="majorBidi"/>
          <w:bCs/>
          <w:i/>
          <w:iCs/>
          <w:color w:val="auto"/>
          <w:u w:val="none"/>
        </w:rPr>
        <w:t>: International Journal of the History of Education</w:t>
      </w:r>
      <w:r w:rsidRPr="00D10CBB">
        <w:rPr>
          <w:rStyle w:val="Hyperlink"/>
          <w:rFonts w:asciiTheme="majorBidi" w:eastAsiaTheme="majorEastAsia" w:hAnsiTheme="majorBidi" w:cstheme="majorBidi"/>
          <w:bCs/>
          <w:color w:val="auto"/>
          <w:u w:val="none"/>
        </w:rPr>
        <w:t>, v49 n1 p17-33.</w:t>
      </w:r>
    </w:p>
    <w:p w14:paraId="620450A8" w14:textId="762D86FC" w:rsidR="00D90394" w:rsidRDefault="00D90394" w:rsidP="00B31643">
      <w:pPr>
        <w:spacing w:line="276" w:lineRule="auto"/>
        <w:rPr>
          <w:rFonts w:asciiTheme="majorBidi" w:hAnsiTheme="majorBidi" w:cstheme="majorBidi"/>
          <w:snapToGrid w:val="0"/>
          <w:rtl/>
        </w:rPr>
      </w:pPr>
      <w:r w:rsidRPr="00D10CBB">
        <w:rPr>
          <w:rFonts w:asciiTheme="majorBidi" w:hAnsiTheme="majorBidi" w:cstheme="majorBidi"/>
          <w:snapToGrid w:val="0"/>
          <w:rtl/>
        </w:rPr>
        <w:t xml:space="preserve">הרצוג, אסתר. 2010. "הקדמה: על גב נשים – מגדר בין חינוך לחברה; הפוליטיקה של מגדור החינוך: למי מועילה הפמיניזציה של ההוראה?" בתוך: א. הרצוג </w:t>
      </w:r>
      <w:proofErr w:type="spellStart"/>
      <w:r w:rsidRPr="00D10CBB">
        <w:rPr>
          <w:rFonts w:asciiTheme="majorBidi" w:hAnsiTheme="majorBidi" w:cstheme="majorBidi"/>
          <w:snapToGrid w:val="0"/>
          <w:rtl/>
        </w:rPr>
        <w:t>וצ</w:t>
      </w:r>
      <w:proofErr w:type="spellEnd"/>
      <w:r w:rsidRPr="00D10CBB">
        <w:rPr>
          <w:rFonts w:asciiTheme="majorBidi" w:hAnsiTheme="majorBidi" w:cstheme="majorBidi"/>
          <w:snapToGrid w:val="0"/>
          <w:rtl/>
        </w:rPr>
        <w:t xml:space="preserve">. ולדן (עורכות), </w:t>
      </w:r>
      <w:r w:rsidRPr="00D10CBB">
        <w:rPr>
          <w:rFonts w:asciiTheme="majorBidi" w:hAnsiTheme="majorBidi" w:cstheme="majorBidi"/>
          <w:i/>
          <w:iCs/>
          <w:snapToGrid w:val="0"/>
          <w:rtl/>
        </w:rPr>
        <w:t>על גב המורות, כוח ומגדר בחינוך</w:t>
      </w:r>
      <w:r w:rsidRPr="00D10CBB">
        <w:rPr>
          <w:rFonts w:asciiTheme="majorBidi" w:hAnsiTheme="majorBidi" w:cstheme="majorBidi"/>
          <w:snapToGrid w:val="0"/>
          <w:rtl/>
        </w:rPr>
        <w:t>, ירושלים: כרמל, עמ' 11-36; 37-72.</w:t>
      </w:r>
    </w:p>
    <w:p w14:paraId="4BA071C0" w14:textId="77777777" w:rsidR="00B31643" w:rsidRPr="00D10CBB" w:rsidRDefault="00B31643" w:rsidP="00B31643">
      <w:pPr>
        <w:spacing w:line="276" w:lineRule="auto"/>
        <w:rPr>
          <w:rFonts w:asciiTheme="majorBidi" w:hAnsiTheme="majorBidi" w:cstheme="majorBidi"/>
          <w:snapToGrid w:val="0"/>
          <w:rtl/>
        </w:rPr>
      </w:pPr>
    </w:p>
    <w:p w14:paraId="490B7C7F" w14:textId="4B8F1B20" w:rsidR="00B31643" w:rsidRPr="00B31643" w:rsidRDefault="00582816" w:rsidP="00B31643">
      <w:pPr>
        <w:spacing w:line="276" w:lineRule="auto"/>
        <w:jc w:val="lef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771BECEB" w14:textId="3FBDFE04" w:rsidR="006361D7" w:rsidRPr="00D10CBB" w:rsidRDefault="006361D7" w:rsidP="00B31643">
      <w:pPr>
        <w:spacing w:before="0" w:line="276" w:lineRule="auto"/>
        <w:jc w:val="left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>אדי-רקח, אודרי. 2017 .</w:t>
      </w:r>
      <w:r w:rsidR="000E1DCE" w:rsidRPr="00D10CBB">
        <w:rPr>
          <w:rFonts w:asciiTheme="majorBidi" w:hAnsiTheme="majorBidi" w:cstheme="majorBidi"/>
          <w:rtl/>
        </w:rPr>
        <w:t xml:space="preserve"> </w:t>
      </w:r>
      <w:r w:rsidRPr="00D10CBB">
        <w:rPr>
          <w:rFonts w:asciiTheme="majorBidi" w:hAnsiTheme="majorBidi" w:cstheme="majorBidi"/>
          <w:rtl/>
        </w:rPr>
        <w:t>השכלה ואי-שוויון מגדרי בתפקידי ניהול במערכת החינוך: השוואה לאורך</w:t>
      </w:r>
    </w:p>
    <w:p w14:paraId="055CED0F" w14:textId="76C6B6BE" w:rsidR="006361D7" w:rsidRPr="00D10CBB" w:rsidRDefault="006361D7" w:rsidP="00B31643">
      <w:pPr>
        <w:spacing w:before="0" w:line="276" w:lineRule="auto"/>
        <w:jc w:val="left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זמן.  יש סיכוי לשינוי? </w:t>
      </w:r>
      <w:r w:rsidRPr="00D10CBB">
        <w:rPr>
          <w:rFonts w:asciiTheme="majorBidi" w:hAnsiTheme="majorBidi" w:cstheme="majorBidi"/>
          <w:i/>
          <w:iCs/>
          <w:rtl/>
        </w:rPr>
        <w:t>תאוריה ומחקר עדכני על שוויון הזדמנויות בחינוך</w:t>
      </w:r>
      <w:r w:rsidRPr="00D10CBB">
        <w:rPr>
          <w:rFonts w:asciiTheme="majorBidi" w:hAnsiTheme="majorBidi" w:cstheme="majorBidi"/>
          <w:rtl/>
        </w:rPr>
        <w:t>. עורכים: רינת ארביב-</w:t>
      </w:r>
    </w:p>
    <w:p w14:paraId="2A6E1D9C" w14:textId="49627288" w:rsidR="006361D7" w:rsidRPr="00D10CBB" w:rsidRDefault="006361D7" w:rsidP="00B31643">
      <w:pPr>
        <w:spacing w:before="0" w:line="276" w:lineRule="auto"/>
        <w:jc w:val="left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אלישיב | יריב פניגר | יוסי שביט. מכון מופת, תל-אביב, 257 – 282. </w:t>
      </w:r>
    </w:p>
    <w:p w14:paraId="60D0B85A" w14:textId="4DDCC2C9" w:rsidR="0068652B" w:rsidRPr="00D10CBB" w:rsidRDefault="0055414F" w:rsidP="00B31643">
      <w:pPr>
        <w:spacing w:before="0" w:line="276" w:lineRule="auto"/>
        <w:jc w:val="left"/>
        <w:rPr>
          <w:rFonts w:asciiTheme="majorBidi" w:hAnsiTheme="majorBidi" w:cstheme="majorBidi"/>
          <w:rtl/>
        </w:rPr>
      </w:pPr>
      <w:hyperlink r:id="rId7" w:anchor="7.711.6.default" w:history="1">
        <w:r w:rsidR="0068652B" w:rsidRPr="00D10CBB">
          <w:rPr>
            <w:rStyle w:val="Hyperlink"/>
            <w:rFonts w:asciiTheme="majorBidi" w:hAnsiTheme="majorBidi" w:cstheme="majorBidi"/>
          </w:rPr>
          <w:t>https://kotar.cet.ac.il/KotarApp/Viewer.aspx?nBookID=104439749#7.711.6.default</w:t>
        </w:r>
      </w:hyperlink>
    </w:p>
    <w:p w14:paraId="131FF42B" w14:textId="77777777" w:rsidR="006361D7" w:rsidRPr="00D10CBB" w:rsidRDefault="006361D7" w:rsidP="00B31643">
      <w:pPr>
        <w:spacing w:before="0" w:line="276" w:lineRule="auto"/>
        <w:jc w:val="left"/>
        <w:rPr>
          <w:rFonts w:asciiTheme="majorBidi" w:hAnsiTheme="majorBidi" w:cstheme="majorBidi"/>
          <w:rtl/>
        </w:rPr>
      </w:pPr>
    </w:p>
    <w:p w14:paraId="182C4FE8" w14:textId="5D72AB3C" w:rsidR="00582816" w:rsidRPr="00D10CBB" w:rsidRDefault="00582816" w:rsidP="00B31643">
      <w:pPr>
        <w:spacing w:before="0" w:line="276" w:lineRule="auto"/>
        <w:jc w:val="left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  <w:rtl/>
        </w:rPr>
        <w:t xml:space="preserve">דגן-בוזגלו, נוגה. 2010. </w:t>
      </w:r>
      <w:r w:rsidRPr="00D10CBB">
        <w:rPr>
          <w:rFonts w:asciiTheme="majorBidi" w:hAnsiTheme="majorBidi" w:cstheme="majorBidi"/>
          <w:i/>
          <w:iCs/>
          <w:rtl/>
        </w:rPr>
        <w:t>היבטים של הפרטה במערכת החינוך</w:t>
      </w:r>
      <w:r w:rsidRPr="00D10CBB">
        <w:rPr>
          <w:rFonts w:asciiTheme="majorBidi" w:hAnsiTheme="majorBidi" w:cstheme="majorBidi"/>
          <w:rtl/>
        </w:rPr>
        <w:t>. מרכז אדוה. תל-אביב.</w:t>
      </w:r>
    </w:p>
    <w:p w14:paraId="770234A5" w14:textId="77777777" w:rsidR="00582816" w:rsidRPr="00D10CBB" w:rsidRDefault="00582816" w:rsidP="00B31643">
      <w:pPr>
        <w:spacing w:before="0" w:line="276" w:lineRule="auto"/>
        <w:jc w:val="left"/>
        <w:rPr>
          <w:rFonts w:asciiTheme="majorBidi" w:hAnsiTheme="majorBidi" w:cstheme="majorBidi"/>
          <w:snapToGrid w:val="0"/>
          <w:rtl/>
        </w:rPr>
      </w:pPr>
      <w:r w:rsidRPr="00D10CBB">
        <w:rPr>
          <w:rFonts w:asciiTheme="majorBidi" w:hAnsiTheme="majorBidi" w:cstheme="majorBidi"/>
          <w:rtl/>
        </w:rPr>
        <w:t xml:space="preserve">נדלה ב – 17.10.12 מהכתובת: </w:t>
      </w:r>
      <w:hyperlink r:id="rId8" w:history="1">
        <w:r w:rsidRPr="00D10CBB">
          <w:rPr>
            <w:rStyle w:val="Hyperlink"/>
            <w:rFonts w:asciiTheme="majorBidi" w:eastAsiaTheme="majorEastAsia" w:hAnsiTheme="majorBidi" w:cstheme="majorBidi"/>
            <w:bCs/>
          </w:rPr>
          <w:t>http://www.adva.org/uploaded/hafrataedu.pdf</w:t>
        </w:r>
      </w:hyperlink>
    </w:p>
    <w:p w14:paraId="1E51D7C3" w14:textId="6A9CC539" w:rsidR="007C1547" w:rsidRDefault="00582816" w:rsidP="00B31643">
      <w:pPr>
        <w:spacing w:line="276" w:lineRule="auto"/>
        <w:jc w:val="left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שפר, אופיר. "היי נכונה": תנועת הנוער כמעצבת את חווית התעסוקה בקרב נשים. </w:t>
      </w:r>
    </w:p>
    <w:p w14:paraId="1B46FF24" w14:textId="77777777" w:rsidR="00B31643" w:rsidRPr="00D10CBB" w:rsidRDefault="00B31643" w:rsidP="00B31643">
      <w:pPr>
        <w:spacing w:line="276" w:lineRule="auto"/>
        <w:jc w:val="left"/>
        <w:rPr>
          <w:rFonts w:asciiTheme="majorBidi" w:hAnsiTheme="majorBidi" w:cstheme="majorBidi"/>
          <w:rtl/>
        </w:rPr>
      </w:pPr>
    </w:p>
    <w:p w14:paraId="6B42DB7A" w14:textId="77777777" w:rsidR="007C1547" w:rsidRPr="00D10CBB" w:rsidRDefault="007C1547" w:rsidP="007C1547">
      <w:pPr>
        <w:rPr>
          <w:rFonts w:asciiTheme="majorBidi" w:hAnsiTheme="majorBidi" w:cstheme="majorBidi"/>
        </w:rPr>
      </w:pPr>
    </w:p>
    <w:p w14:paraId="6665E8D7" w14:textId="74BBFB18" w:rsidR="00C4615F" w:rsidRPr="00B31643" w:rsidRDefault="007D69FC" w:rsidP="00B31643">
      <w:pPr>
        <w:bidi w:val="0"/>
        <w:spacing w:before="0" w:after="200" w:line="276" w:lineRule="auto"/>
        <w:jc w:val="right"/>
        <w:rPr>
          <w:rFonts w:asciiTheme="majorBidi" w:eastAsiaTheme="majorEastAsia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שיעור </w:t>
      </w:r>
      <w:r w:rsidR="00CD0F8D" w:rsidRPr="00B3164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7 </w:t>
      </w:r>
      <w:r w:rsidR="003B06BB" w:rsidRPr="00B31643">
        <w:rPr>
          <w:rFonts w:asciiTheme="majorBidi" w:hAnsiTheme="majorBidi" w:cstheme="majorBidi"/>
          <w:b/>
          <w:bCs/>
          <w:sz w:val="26"/>
          <w:szCs w:val="26"/>
          <w:rtl/>
        </w:rPr>
        <w:t>: פערי מגדר בהישגים</w:t>
      </w:r>
    </w:p>
    <w:p w14:paraId="6300A4D9" w14:textId="73A569BB" w:rsidR="00D56646" w:rsidRPr="00D10CBB" w:rsidRDefault="0032503A" w:rsidP="00B31643">
      <w:pPr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</w:rPr>
        <w:t>Stoet</w:t>
      </w:r>
      <w:proofErr w:type="spellEnd"/>
      <w:r w:rsidR="00955E5A" w:rsidRPr="00D10CBB">
        <w:rPr>
          <w:rFonts w:asciiTheme="majorBidi" w:hAnsiTheme="majorBidi" w:cstheme="majorBidi"/>
        </w:rPr>
        <w:t>,</w:t>
      </w:r>
      <w:r w:rsidRPr="00D10CBB">
        <w:rPr>
          <w:rFonts w:asciiTheme="majorBidi" w:hAnsiTheme="majorBidi" w:cstheme="majorBidi"/>
        </w:rPr>
        <w:t xml:space="preserve"> </w:t>
      </w:r>
      <w:proofErr w:type="spellStart"/>
      <w:r w:rsidR="00D56646" w:rsidRPr="00D10CBB">
        <w:rPr>
          <w:rFonts w:asciiTheme="majorBidi" w:hAnsiTheme="majorBidi" w:cstheme="majorBidi"/>
        </w:rPr>
        <w:t>Gijsbert</w:t>
      </w:r>
      <w:proofErr w:type="spellEnd"/>
      <w:r w:rsidR="00D56646" w:rsidRPr="00D10CBB">
        <w:rPr>
          <w:rFonts w:asciiTheme="majorBidi" w:hAnsiTheme="majorBidi" w:cstheme="majorBidi"/>
        </w:rPr>
        <w:t xml:space="preserve"> and </w:t>
      </w:r>
      <w:r w:rsidR="00955E5A" w:rsidRPr="00D10CBB">
        <w:rPr>
          <w:rFonts w:asciiTheme="majorBidi" w:hAnsiTheme="majorBidi" w:cstheme="majorBidi"/>
        </w:rPr>
        <w:t xml:space="preserve">Geary, </w:t>
      </w:r>
      <w:r w:rsidR="00D56646" w:rsidRPr="00D10CBB">
        <w:rPr>
          <w:rFonts w:asciiTheme="majorBidi" w:hAnsiTheme="majorBidi" w:cstheme="majorBidi"/>
        </w:rPr>
        <w:t>David C. 2018. The Gender-Equality Paradox in Science</w:t>
      </w:r>
      <w:r w:rsidR="00D56646" w:rsidRPr="00D10CBB">
        <w:rPr>
          <w:rFonts w:asciiTheme="majorBidi" w:hAnsiTheme="majorBidi" w:cstheme="majorBidi"/>
          <w:rtl/>
        </w:rPr>
        <w:t>,</w:t>
      </w:r>
      <w:r w:rsidR="00261E2A" w:rsidRPr="00D10CBB">
        <w:rPr>
          <w:rFonts w:asciiTheme="majorBidi" w:hAnsiTheme="majorBidi" w:cstheme="majorBidi"/>
        </w:rPr>
        <w:t xml:space="preserve"> </w:t>
      </w:r>
      <w:r w:rsidR="00D56646" w:rsidRPr="00D10CBB">
        <w:rPr>
          <w:rFonts w:asciiTheme="majorBidi" w:hAnsiTheme="majorBidi" w:cstheme="majorBidi"/>
        </w:rPr>
        <w:t xml:space="preserve">Technology, Engineering, and Mathematics Education. </w:t>
      </w:r>
      <w:r w:rsidR="00D56646" w:rsidRPr="00D10CBB">
        <w:rPr>
          <w:rFonts w:asciiTheme="majorBidi" w:hAnsiTheme="majorBidi" w:cstheme="majorBidi"/>
          <w:i/>
          <w:iCs/>
        </w:rPr>
        <w:t>Psychological Science</w:t>
      </w:r>
      <w:r w:rsidR="00D56646" w:rsidRPr="00D10CBB">
        <w:rPr>
          <w:rFonts w:asciiTheme="majorBidi" w:hAnsiTheme="majorBidi" w:cstheme="majorBidi"/>
        </w:rPr>
        <w:t>, Vol. 29(4) 581–593</w:t>
      </w:r>
    </w:p>
    <w:p w14:paraId="7351034B" w14:textId="77777777" w:rsidR="00ED3C98" w:rsidRPr="00D10CBB" w:rsidRDefault="00ED3C98" w:rsidP="00B31643">
      <w:pPr>
        <w:spacing w:line="276" w:lineRule="auto"/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רפ</w:t>
      </w:r>
      <w:proofErr w:type="spellEnd"/>
      <w:r w:rsidRPr="00D10CBB">
        <w:rPr>
          <w:rFonts w:asciiTheme="majorBidi" w:hAnsiTheme="majorBidi" w:cstheme="majorBidi"/>
          <w:rtl/>
        </w:rPr>
        <w:t xml:space="preserve">, יואל. 2014. פערי הישגים בין בנים לבנות במתמטיקה ובשפה - מה אפשר ללמוד מניתוח פערים אלו בקרב תלמידי ישראל? </w:t>
      </w:r>
      <w:proofErr w:type="spellStart"/>
      <w:r w:rsidRPr="00D10CBB">
        <w:rPr>
          <w:rFonts w:asciiTheme="majorBidi" w:hAnsiTheme="majorBidi" w:cstheme="majorBidi"/>
          <w:rtl/>
        </w:rPr>
        <w:t>ראמ"ה</w:t>
      </w:r>
      <w:proofErr w:type="spellEnd"/>
      <w:r w:rsidRPr="00D10CBB">
        <w:rPr>
          <w:rFonts w:asciiTheme="majorBidi" w:hAnsiTheme="majorBidi" w:cstheme="majorBidi"/>
          <w:rtl/>
        </w:rPr>
        <w:t>: הרשות הארצית למדידה והערכה בחינוך.</w:t>
      </w:r>
    </w:p>
    <w:p w14:paraId="05F85773" w14:textId="1CA59FFC" w:rsidR="00ED3C98" w:rsidRPr="00D10CBB" w:rsidRDefault="00ED3C98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נאסר-אבו </w:t>
      </w:r>
      <w:proofErr w:type="spellStart"/>
      <w:r w:rsidRPr="00D10CBB">
        <w:rPr>
          <w:rFonts w:asciiTheme="majorBidi" w:hAnsiTheme="majorBidi" w:cstheme="majorBidi"/>
          <w:rtl/>
        </w:rPr>
        <w:t>אלהיג׳א</w:t>
      </w:r>
      <w:proofErr w:type="spellEnd"/>
      <w:r w:rsidRPr="00D10CBB">
        <w:rPr>
          <w:rFonts w:asciiTheme="majorBidi" w:hAnsiTheme="majorBidi" w:cstheme="majorBidi"/>
          <w:rtl/>
        </w:rPr>
        <w:t xml:space="preserve">, </w:t>
      </w:r>
      <w:proofErr w:type="spellStart"/>
      <w:r w:rsidRPr="00D10CBB">
        <w:rPr>
          <w:rFonts w:asciiTheme="majorBidi" w:hAnsiTheme="majorBidi" w:cstheme="majorBidi"/>
          <w:rtl/>
        </w:rPr>
        <w:t>פאדיה</w:t>
      </w:r>
      <w:proofErr w:type="spellEnd"/>
      <w:r w:rsidRPr="00D10CBB">
        <w:rPr>
          <w:rFonts w:asciiTheme="majorBidi" w:hAnsiTheme="majorBidi" w:cstheme="majorBidi"/>
          <w:rtl/>
        </w:rPr>
        <w:t>. 2017.</w:t>
      </w:r>
      <w:r w:rsidR="0064199D" w:rsidRPr="00D10CBB">
        <w:rPr>
          <w:rFonts w:asciiTheme="majorBidi" w:hAnsiTheme="majorBidi" w:cstheme="majorBidi"/>
          <w:rtl/>
        </w:rPr>
        <w:t xml:space="preserve"> </w:t>
      </w:r>
      <w:r w:rsidRPr="00D10CBB">
        <w:rPr>
          <w:rFonts w:asciiTheme="majorBidi" w:hAnsiTheme="majorBidi" w:cstheme="majorBidi"/>
          <w:rtl/>
        </w:rPr>
        <w:t>אי-שוויון בהישגים: הבדלים בין-תרבותיים ומגדריים בהישגים</w:t>
      </w:r>
    </w:p>
    <w:p w14:paraId="233F8C5A" w14:textId="77777777" w:rsidR="00ED3C98" w:rsidRPr="00D10CBB" w:rsidRDefault="00ED3C98" w:rsidP="00B31643">
      <w:pPr>
        <w:spacing w:before="0"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במתמטיקה. יש סיכוי לשינוי? </w:t>
      </w:r>
      <w:r w:rsidRPr="00D10CBB">
        <w:rPr>
          <w:rFonts w:asciiTheme="majorBidi" w:hAnsiTheme="majorBidi" w:cstheme="majorBidi"/>
          <w:i/>
          <w:iCs/>
          <w:rtl/>
        </w:rPr>
        <w:t>תאוריה ומחקר עדכני על שוויון הזדמנויות בחינוך</w:t>
      </w:r>
      <w:r w:rsidRPr="00D10CBB">
        <w:rPr>
          <w:rFonts w:asciiTheme="majorBidi" w:hAnsiTheme="majorBidi" w:cstheme="majorBidi"/>
          <w:rtl/>
        </w:rPr>
        <w:t>. עורכים: רינת</w:t>
      </w:r>
    </w:p>
    <w:p w14:paraId="57F82DAA" w14:textId="07DA69A4" w:rsidR="00ED3C98" w:rsidRPr="00D10CBB" w:rsidRDefault="00ED3C98" w:rsidP="00B31643">
      <w:pPr>
        <w:spacing w:before="0"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>ארביב-אלישיב | יריב פניגר | יוסי שביט. מכון מופת, תל-אביב, 200 – 228</w:t>
      </w:r>
    </w:p>
    <w:p w14:paraId="61136F33" w14:textId="6472BB53" w:rsidR="00B259E6" w:rsidRPr="00D10CBB" w:rsidRDefault="0055414F" w:rsidP="00B31643">
      <w:pPr>
        <w:spacing w:before="0" w:line="276" w:lineRule="auto"/>
        <w:rPr>
          <w:rFonts w:asciiTheme="majorBidi" w:hAnsiTheme="majorBidi" w:cstheme="majorBidi"/>
        </w:rPr>
      </w:pPr>
      <w:hyperlink r:id="rId9" w:anchor="7.711.6.default" w:history="1">
        <w:r w:rsidR="00B259E6" w:rsidRPr="00D10CBB">
          <w:rPr>
            <w:rStyle w:val="Hyperlink"/>
            <w:rFonts w:asciiTheme="majorBidi" w:hAnsiTheme="majorBidi" w:cstheme="majorBidi"/>
          </w:rPr>
          <w:t>https://kotar.cet.ac.il/KotarApp/Viewer.aspx?nBookID=104439749#7.711.6.default</w:t>
        </w:r>
      </w:hyperlink>
    </w:p>
    <w:p w14:paraId="2AA0469D" w14:textId="77777777" w:rsidR="009C2C36" w:rsidRPr="00D10CBB" w:rsidRDefault="009C2C36" w:rsidP="00B31643">
      <w:pPr>
        <w:pStyle w:val="2"/>
        <w:bidi w:val="0"/>
        <w:rPr>
          <w:rtl/>
        </w:rPr>
      </w:pPr>
    </w:p>
    <w:p w14:paraId="06C9DD64" w14:textId="3F9C2E61" w:rsidR="006B2809" w:rsidRPr="00B31643" w:rsidRDefault="00C4615F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 xml:space="preserve">שיעורים </w:t>
      </w:r>
      <w:r w:rsidR="003B06BB" w:rsidRPr="00B31643">
        <w:rPr>
          <w:sz w:val="26"/>
          <w:szCs w:val="26"/>
          <w:rtl/>
        </w:rPr>
        <w:t>9</w:t>
      </w:r>
      <w:r w:rsidR="00CD0F8D" w:rsidRPr="00B31643">
        <w:rPr>
          <w:sz w:val="26"/>
          <w:szCs w:val="26"/>
          <w:rtl/>
        </w:rPr>
        <w:t>-8:</w:t>
      </w:r>
      <w:r w:rsidR="00582816" w:rsidRPr="00B31643">
        <w:rPr>
          <w:sz w:val="26"/>
          <w:szCs w:val="26"/>
          <w:rtl/>
        </w:rPr>
        <w:t xml:space="preserve"> </w:t>
      </w:r>
      <w:r w:rsidR="00CA26EE" w:rsidRPr="00B31643">
        <w:rPr>
          <w:sz w:val="26"/>
          <w:szCs w:val="26"/>
          <w:rtl/>
        </w:rPr>
        <w:t>מגדור החינוך</w:t>
      </w:r>
      <w:r w:rsidR="00FF5BDF" w:rsidRPr="00B31643">
        <w:rPr>
          <w:sz w:val="26"/>
          <w:szCs w:val="26"/>
          <w:rtl/>
        </w:rPr>
        <w:t xml:space="preserve"> </w:t>
      </w:r>
      <w:r w:rsidR="00CA26EE" w:rsidRPr="00B31643">
        <w:rPr>
          <w:sz w:val="26"/>
          <w:szCs w:val="26"/>
          <w:rtl/>
        </w:rPr>
        <w:t xml:space="preserve">- </w:t>
      </w:r>
      <w:r w:rsidR="006B2809" w:rsidRPr="00B31643">
        <w:rPr>
          <w:sz w:val="26"/>
          <w:szCs w:val="26"/>
          <w:rtl/>
        </w:rPr>
        <w:t>ת</w:t>
      </w:r>
      <w:r w:rsidR="001D2C36" w:rsidRPr="00B31643">
        <w:rPr>
          <w:sz w:val="26"/>
          <w:szCs w:val="26"/>
          <w:rtl/>
        </w:rPr>
        <w:t>ו</w:t>
      </w:r>
      <w:r w:rsidR="006B2809" w:rsidRPr="00B31643">
        <w:rPr>
          <w:sz w:val="26"/>
          <w:szCs w:val="26"/>
          <w:rtl/>
        </w:rPr>
        <w:t xml:space="preserve">כניות לימודים, תהליכי למידה ויחסי גומלין </w:t>
      </w:r>
    </w:p>
    <w:p w14:paraId="093F04CC" w14:textId="77777777" w:rsidR="007D286F" w:rsidRPr="00B31643" w:rsidRDefault="007D286F" w:rsidP="00DC7FCA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" w:name="_Hlk527322600"/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חובה</w:t>
      </w:r>
    </w:p>
    <w:bookmarkEnd w:id="2"/>
    <w:p w14:paraId="51A7B3D1" w14:textId="64C26F44" w:rsidR="00CA26EE" w:rsidRPr="00D10CBB" w:rsidRDefault="00CA26EE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קוש, </w:t>
      </w:r>
      <w:proofErr w:type="spellStart"/>
      <w:r w:rsidRPr="00D10CBB">
        <w:rPr>
          <w:rFonts w:asciiTheme="majorBidi" w:hAnsiTheme="majorBidi" w:cstheme="majorBidi"/>
          <w:rtl/>
        </w:rPr>
        <w:t>טלילה</w:t>
      </w:r>
      <w:proofErr w:type="spellEnd"/>
      <w:r w:rsidRPr="00D10CBB">
        <w:rPr>
          <w:rFonts w:asciiTheme="majorBidi" w:hAnsiTheme="majorBidi" w:cstheme="majorBidi"/>
          <w:rtl/>
        </w:rPr>
        <w:t xml:space="preserve"> וחרובי, דינה. 2017. ריצת משוכות, מכשולים בדרך לשוויון זכויות מגדרי. </w:t>
      </w:r>
      <w:r w:rsidRPr="00D10CBB">
        <w:rPr>
          <w:rFonts w:asciiTheme="majorBidi" w:hAnsiTheme="majorBidi" w:cstheme="majorBidi"/>
          <w:i/>
          <w:iCs/>
          <w:rtl/>
        </w:rPr>
        <w:t>פורצות גדרות</w:t>
      </w:r>
      <w:r w:rsidRPr="00D10CBB">
        <w:rPr>
          <w:rFonts w:asciiTheme="majorBidi" w:hAnsiTheme="majorBidi" w:cstheme="majorBidi"/>
          <w:rtl/>
        </w:rPr>
        <w:t xml:space="preserve">. עורכות: דינה חרובי </w:t>
      </w:r>
      <w:proofErr w:type="spellStart"/>
      <w:r w:rsidRPr="00D10CBB">
        <w:rPr>
          <w:rFonts w:asciiTheme="majorBidi" w:hAnsiTheme="majorBidi" w:cstheme="majorBidi"/>
          <w:rtl/>
        </w:rPr>
        <w:t>וטלילה</w:t>
      </w:r>
      <w:proofErr w:type="spellEnd"/>
      <w:r w:rsidRPr="00D10CBB">
        <w:rPr>
          <w:rFonts w:asciiTheme="majorBidi" w:hAnsiTheme="majorBidi" w:cstheme="majorBidi"/>
          <w:rtl/>
        </w:rPr>
        <w:t xml:space="preserve"> קוש-זוהר, 17-46.</w:t>
      </w:r>
    </w:p>
    <w:p w14:paraId="12337047" w14:textId="0FD97AB0" w:rsidR="00534C5B" w:rsidRPr="00D10CBB" w:rsidRDefault="00534C5B" w:rsidP="00B31643">
      <w:pPr>
        <w:spacing w:line="276" w:lineRule="auto"/>
        <w:jc w:val="left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lastRenderedPageBreak/>
        <w:t xml:space="preserve">לביא, ויקטור </w:t>
      </w:r>
      <w:proofErr w:type="spellStart"/>
      <w:r w:rsidRPr="00D10CBB">
        <w:rPr>
          <w:rFonts w:asciiTheme="majorBidi" w:hAnsiTheme="majorBidi" w:cstheme="majorBidi"/>
          <w:rtl/>
        </w:rPr>
        <w:t>וזנד</w:t>
      </w:r>
      <w:proofErr w:type="spellEnd"/>
      <w:r w:rsidRPr="00D10CBB">
        <w:rPr>
          <w:rFonts w:asciiTheme="majorBidi" w:hAnsiTheme="majorBidi" w:cstheme="majorBidi"/>
          <w:rtl/>
        </w:rPr>
        <w:t xml:space="preserve">, אורית. 2016. על מקורות הפערים המגדריים בהון האנושי: ההשלכות של הטיות סטריאוטיפיות של מורים בטווח הקצר ובטווח הארוך. חטיבת המחקר, בנק ישראל, ירושלים. </w:t>
      </w:r>
      <w:hyperlink r:id="rId10" w:history="1">
        <w:r w:rsidR="002975BA" w:rsidRPr="00D10CBB">
          <w:rPr>
            <w:rStyle w:val="Hyperlink"/>
            <w:rFonts w:asciiTheme="majorBidi" w:hAnsiTheme="majorBidi" w:cstheme="majorBidi"/>
          </w:rPr>
          <w:t>https://www.boi.org.il/he/Research/DocLib/dp2016.02h.pdf</w:t>
        </w:r>
      </w:hyperlink>
    </w:p>
    <w:p w14:paraId="15F23E1F" w14:textId="2925C1B8" w:rsidR="002975BA" w:rsidRPr="00D10CBB" w:rsidRDefault="00B7366B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 xml:space="preserve">Shapiro </w:t>
      </w:r>
      <w:r w:rsidR="00F120FC" w:rsidRPr="00D10CBB">
        <w:rPr>
          <w:rFonts w:asciiTheme="majorBidi" w:hAnsiTheme="majorBidi" w:cstheme="majorBidi"/>
        </w:rPr>
        <w:t xml:space="preserve">Mary, </w:t>
      </w:r>
      <w:r w:rsidRPr="00D10CBB">
        <w:rPr>
          <w:rFonts w:asciiTheme="majorBidi" w:hAnsiTheme="majorBidi" w:cstheme="majorBidi"/>
        </w:rPr>
        <w:t xml:space="preserve">Grossman </w:t>
      </w:r>
      <w:r w:rsidR="00F120FC" w:rsidRPr="00D10CBB">
        <w:rPr>
          <w:rFonts w:asciiTheme="majorBidi" w:hAnsiTheme="majorBidi" w:cstheme="majorBidi"/>
        </w:rPr>
        <w:t xml:space="preserve">Diane, </w:t>
      </w:r>
      <w:r w:rsidRPr="00D10CBB">
        <w:rPr>
          <w:rFonts w:asciiTheme="majorBidi" w:hAnsiTheme="majorBidi" w:cstheme="majorBidi"/>
        </w:rPr>
        <w:t xml:space="preserve">Carter </w:t>
      </w:r>
      <w:r w:rsidR="00F120FC" w:rsidRPr="00D10CBB">
        <w:rPr>
          <w:rFonts w:asciiTheme="majorBidi" w:hAnsiTheme="majorBidi" w:cstheme="majorBidi"/>
        </w:rPr>
        <w:t xml:space="preserve">Suzanne, </w:t>
      </w:r>
      <w:r w:rsidRPr="00D10CBB">
        <w:rPr>
          <w:rFonts w:asciiTheme="majorBidi" w:hAnsiTheme="majorBidi" w:cstheme="majorBidi"/>
        </w:rPr>
        <w:t xml:space="preserve">Martin </w:t>
      </w:r>
      <w:proofErr w:type="spellStart"/>
      <w:r w:rsidR="00F120FC" w:rsidRPr="00D10CBB">
        <w:rPr>
          <w:rFonts w:asciiTheme="majorBidi" w:hAnsiTheme="majorBidi" w:cstheme="majorBidi"/>
        </w:rPr>
        <w:t>Karyn</w:t>
      </w:r>
      <w:proofErr w:type="spellEnd"/>
      <w:r w:rsidR="00F120FC" w:rsidRPr="00D10CBB">
        <w:rPr>
          <w:rFonts w:asciiTheme="majorBidi" w:hAnsiTheme="majorBidi" w:cstheme="majorBidi"/>
        </w:rPr>
        <w:t xml:space="preserve">, </w:t>
      </w:r>
      <w:proofErr w:type="spellStart"/>
      <w:r w:rsidRPr="00D10CBB">
        <w:rPr>
          <w:rFonts w:asciiTheme="majorBidi" w:hAnsiTheme="majorBidi" w:cstheme="majorBidi"/>
        </w:rPr>
        <w:t>Deyton</w:t>
      </w:r>
      <w:proofErr w:type="spellEnd"/>
      <w:r w:rsidRPr="00D10CBB">
        <w:rPr>
          <w:rFonts w:asciiTheme="majorBidi" w:hAnsiTheme="majorBidi" w:cstheme="majorBidi"/>
        </w:rPr>
        <w:t xml:space="preserve"> </w:t>
      </w:r>
      <w:r w:rsidR="00F120FC" w:rsidRPr="00D10CBB">
        <w:rPr>
          <w:rFonts w:asciiTheme="majorBidi" w:hAnsiTheme="majorBidi" w:cstheme="majorBidi"/>
        </w:rPr>
        <w:t xml:space="preserve">Patricia, &amp; </w:t>
      </w:r>
      <w:r w:rsidR="007B2A9D" w:rsidRPr="00D10CBB">
        <w:rPr>
          <w:rFonts w:asciiTheme="majorBidi" w:hAnsiTheme="majorBidi" w:cstheme="majorBidi"/>
        </w:rPr>
        <w:t xml:space="preserve">Hammer </w:t>
      </w:r>
      <w:r w:rsidR="00F120FC" w:rsidRPr="00D10CBB">
        <w:rPr>
          <w:rFonts w:asciiTheme="majorBidi" w:hAnsiTheme="majorBidi" w:cstheme="majorBidi"/>
        </w:rPr>
        <w:t xml:space="preserve">Diane. </w:t>
      </w:r>
      <w:r w:rsidR="00343721" w:rsidRPr="00D10CBB">
        <w:rPr>
          <w:rFonts w:asciiTheme="majorBidi" w:hAnsiTheme="majorBidi" w:cstheme="majorBidi"/>
        </w:rPr>
        <w:t>2015. Middle school girls and the “leaky pipeline</w:t>
      </w:r>
      <w:r w:rsidR="00343721" w:rsidRPr="00D10CBB">
        <w:rPr>
          <w:rFonts w:asciiTheme="majorBidi" w:hAnsiTheme="majorBidi" w:cstheme="majorBidi"/>
          <w:rtl/>
        </w:rPr>
        <w:t>”</w:t>
      </w:r>
      <w:r w:rsidR="00343721" w:rsidRPr="00D10CBB">
        <w:rPr>
          <w:rFonts w:asciiTheme="majorBidi" w:hAnsiTheme="majorBidi" w:cstheme="majorBidi"/>
        </w:rPr>
        <w:t xml:space="preserve"> to leadership</w:t>
      </w:r>
      <w:r w:rsidR="00343721" w:rsidRPr="00D10CBB">
        <w:rPr>
          <w:rFonts w:asciiTheme="majorBidi" w:hAnsiTheme="majorBidi" w:cstheme="majorBidi"/>
          <w:i/>
          <w:iCs/>
        </w:rPr>
        <w:t xml:space="preserve">. </w:t>
      </w:r>
      <w:r w:rsidR="006D7887" w:rsidRPr="00D10CBB">
        <w:rPr>
          <w:rFonts w:asciiTheme="majorBidi" w:hAnsiTheme="majorBidi" w:cstheme="majorBidi"/>
          <w:i/>
          <w:iCs/>
        </w:rPr>
        <w:t>Middle School Journal</w:t>
      </w:r>
      <w:r w:rsidR="006D7887" w:rsidRPr="00D10CBB">
        <w:rPr>
          <w:rFonts w:asciiTheme="majorBidi" w:hAnsiTheme="majorBidi" w:cstheme="majorBidi"/>
        </w:rPr>
        <w:t>,</w:t>
      </w:r>
      <w:r w:rsidRPr="00D10CBB">
        <w:rPr>
          <w:rFonts w:asciiTheme="majorBidi" w:hAnsiTheme="majorBidi" w:cstheme="majorBidi"/>
        </w:rPr>
        <w:t xml:space="preserve"> </w:t>
      </w:r>
      <w:r w:rsidR="001D32A7" w:rsidRPr="00D10CBB">
        <w:rPr>
          <w:rFonts w:asciiTheme="majorBidi" w:hAnsiTheme="majorBidi" w:cstheme="majorBidi"/>
        </w:rPr>
        <w:t>Volume 46, Issue 5</w:t>
      </w:r>
      <w:r w:rsidR="00911C53" w:rsidRPr="00D10CBB">
        <w:rPr>
          <w:rFonts w:asciiTheme="majorBidi" w:hAnsiTheme="majorBidi" w:cstheme="majorBidi"/>
        </w:rPr>
        <w:t>, P. 3-13</w:t>
      </w:r>
      <w:r w:rsidR="006D7887" w:rsidRPr="00D10CBB">
        <w:rPr>
          <w:rFonts w:asciiTheme="majorBidi" w:hAnsiTheme="majorBidi" w:cstheme="majorBidi"/>
        </w:rPr>
        <w:t xml:space="preserve"> </w:t>
      </w:r>
      <w:r w:rsidR="00F120FC" w:rsidRPr="00D10CBB">
        <w:rPr>
          <w:rFonts w:asciiTheme="majorBidi" w:hAnsiTheme="majorBidi" w:cstheme="majorBidi"/>
          <w:rtl/>
        </w:rPr>
        <w:cr/>
      </w:r>
    </w:p>
    <w:p w14:paraId="781EEBEA" w14:textId="16253FE4" w:rsidR="00CA26EE" w:rsidRPr="00B31643" w:rsidRDefault="00CA26EE" w:rsidP="001F3699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1C381529" w14:textId="77777777" w:rsidR="00941ADB" w:rsidRPr="00D10CBB" w:rsidRDefault="00941ADB" w:rsidP="00B31643">
      <w:pPr>
        <w:spacing w:line="276" w:lineRule="auto"/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קרק</w:t>
      </w:r>
      <w:proofErr w:type="spellEnd"/>
      <w:r w:rsidRPr="00D10CBB">
        <w:rPr>
          <w:rFonts w:asciiTheme="majorBidi" w:hAnsiTheme="majorBidi" w:cstheme="majorBidi"/>
          <w:rtl/>
        </w:rPr>
        <w:t xml:space="preserve"> רונית, דביר קרן ורחל זורמן. 2016. תקציר ממצאי מחקר על הפוטנציאל של תלמידות להצטיין במתמטיקה ובמדעים. מכון הנרייטה סאלד.</w:t>
      </w:r>
    </w:p>
    <w:p w14:paraId="332AC6B3" w14:textId="77777777" w:rsidR="00F31281" w:rsidRPr="00D10CBB" w:rsidRDefault="00932813" w:rsidP="00B31643">
      <w:pPr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  <w:rtl/>
        </w:rPr>
        <w:t>מרקוביץ</w:t>
      </w:r>
      <w:proofErr w:type="spellEnd"/>
      <w:r w:rsidRPr="00D10CBB">
        <w:rPr>
          <w:rFonts w:asciiTheme="majorBidi" w:hAnsiTheme="majorBidi" w:cstheme="majorBidi"/>
          <w:rtl/>
        </w:rPr>
        <w:t xml:space="preserve">, </w:t>
      </w:r>
      <w:r w:rsidR="00756C5F" w:rsidRPr="00D10CBB">
        <w:rPr>
          <w:rFonts w:asciiTheme="majorBidi" w:hAnsiTheme="majorBidi" w:cstheme="majorBidi"/>
          <w:rtl/>
        </w:rPr>
        <w:t xml:space="preserve">צביה </w:t>
      </w:r>
      <w:proofErr w:type="spellStart"/>
      <w:r w:rsidRPr="00D10CBB">
        <w:rPr>
          <w:rFonts w:asciiTheme="majorBidi" w:hAnsiTheme="majorBidi" w:cstheme="majorBidi"/>
          <w:rtl/>
        </w:rPr>
        <w:t>ו</w:t>
      </w:r>
      <w:r w:rsidR="000E6D01" w:rsidRPr="00D10CBB">
        <w:rPr>
          <w:rFonts w:asciiTheme="majorBidi" w:hAnsiTheme="majorBidi" w:cstheme="majorBidi"/>
          <w:rtl/>
        </w:rPr>
        <w:t>פורגז</w:t>
      </w:r>
      <w:proofErr w:type="spellEnd"/>
      <w:r w:rsidRPr="00D10CBB">
        <w:rPr>
          <w:rFonts w:asciiTheme="majorBidi" w:hAnsiTheme="majorBidi" w:cstheme="majorBidi"/>
          <w:rtl/>
        </w:rPr>
        <w:t>, הלן</w:t>
      </w:r>
      <w:r w:rsidR="000E6D01" w:rsidRPr="00D10CBB">
        <w:rPr>
          <w:rFonts w:asciiTheme="majorBidi" w:hAnsiTheme="majorBidi" w:cstheme="majorBidi"/>
          <w:rtl/>
        </w:rPr>
        <w:t xml:space="preserve">. 2016. </w:t>
      </w:r>
      <w:r w:rsidR="007733F5" w:rsidRPr="00D10CBB">
        <w:rPr>
          <w:rFonts w:asciiTheme="majorBidi" w:hAnsiTheme="majorBidi" w:cstheme="majorBidi"/>
          <w:rtl/>
        </w:rPr>
        <w:t xml:space="preserve">״מתמטיקה דומה לאריה כי מתמטיקה היא לחכמים ואריה הוא חכם״, </w:t>
      </w:r>
      <w:r w:rsidR="00575AF3" w:rsidRPr="00D10CBB">
        <w:rPr>
          <w:rFonts w:asciiTheme="majorBidi" w:hAnsiTheme="majorBidi" w:cstheme="majorBidi"/>
          <w:rtl/>
        </w:rPr>
        <w:t xml:space="preserve">מספר חזק 2000, גיליון מספר 27, </w:t>
      </w:r>
      <w:r w:rsidR="007A167D" w:rsidRPr="00D10CBB">
        <w:rPr>
          <w:rFonts w:asciiTheme="majorBidi" w:hAnsiTheme="majorBidi" w:cstheme="majorBidi"/>
          <w:rtl/>
        </w:rPr>
        <w:t>28-39</w:t>
      </w:r>
      <w:r w:rsidR="00551DCB" w:rsidRPr="00D10CBB">
        <w:rPr>
          <w:rFonts w:asciiTheme="majorBidi" w:hAnsiTheme="majorBidi" w:cstheme="majorBidi"/>
          <w:rtl/>
        </w:rPr>
        <w:t xml:space="preserve">. </w:t>
      </w:r>
    </w:p>
    <w:p w14:paraId="4318EBC3" w14:textId="7DD36DDE" w:rsidR="000E6D01" w:rsidRPr="00D10CBB" w:rsidRDefault="00551DCB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</w:rPr>
        <w:t>http://ymath.haifa.ac.il/images/stories/mispar_chazak_2000/issue27/Strong.Number_lion.pdf</w:t>
      </w:r>
    </w:p>
    <w:p w14:paraId="151EDB77" w14:textId="1B205992" w:rsidR="006B2809" w:rsidRPr="00D10CBB" w:rsidRDefault="006B2809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קליין, אסתר. 2000. "תהליכים של הבניית מגדר בבתי ספר", בתוך: ש' שלסקי (עורך). </w:t>
      </w:r>
      <w:r w:rsidRPr="00D10CBB">
        <w:rPr>
          <w:rFonts w:asciiTheme="majorBidi" w:hAnsiTheme="majorBidi" w:cstheme="majorBidi"/>
          <w:i/>
          <w:iCs/>
          <w:rtl/>
        </w:rPr>
        <w:t>מיניות ומגדר בחינוך</w:t>
      </w:r>
      <w:r w:rsidRPr="00D10CBB">
        <w:rPr>
          <w:rFonts w:asciiTheme="majorBidi" w:hAnsiTheme="majorBidi" w:cstheme="majorBidi"/>
          <w:rtl/>
        </w:rPr>
        <w:t>. תל אביב: רמות, עמ' 113-134.</w:t>
      </w:r>
    </w:p>
    <w:p w14:paraId="6221C4F1" w14:textId="77777777" w:rsidR="009C2C36" w:rsidRPr="00D10CBB" w:rsidRDefault="009C2C36" w:rsidP="00B31643">
      <w:pPr>
        <w:pStyle w:val="2"/>
        <w:bidi w:val="0"/>
      </w:pPr>
    </w:p>
    <w:p w14:paraId="411018A4" w14:textId="5ACFE544" w:rsidR="007D69FC" w:rsidRPr="00B31643" w:rsidRDefault="007D69FC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 xml:space="preserve">שיעור </w:t>
      </w:r>
      <w:r w:rsidR="00350A36" w:rsidRPr="00B31643">
        <w:rPr>
          <w:sz w:val="26"/>
          <w:szCs w:val="26"/>
        </w:rPr>
        <w:t>10</w:t>
      </w:r>
      <w:r w:rsidRPr="00B31643">
        <w:rPr>
          <w:sz w:val="26"/>
          <w:szCs w:val="26"/>
          <w:rtl/>
        </w:rPr>
        <w:t xml:space="preserve"> : השיח המגדרי </w:t>
      </w:r>
      <w:r w:rsidR="009C7A3F" w:rsidRPr="00B31643">
        <w:rPr>
          <w:sz w:val="26"/>
          <w:szCs w:val="26"/>
          <w:rtl/>
        </w:rPr>
        <w:t>ב</w:t>
      </w:r>
      <w:r w:rsidRPr="00B31643">
        <w:rPr>
          <w:sz w:val="26"/>
          <w:szCs w:val="26"/>
          <w:rtl/>
        </w:rPr>
        <w:t>חינוך</w:t>
      </w:r>
    </w:p>
    <w:p w14:paraId="218E1443" w14:textId="77777777" w:rsidR="007D69FC" w:rsidRPr="00B31643" w:rsidRDefault="007D69FC" w:rsidP="007D69FC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חובה</w:t>
      </w:r>
    </w:p>
    <w:p w14:paraId="62AC0928" w14:textId="77777777" w:rsidR="007D69FC" w:rsidRPr="00D10CBB" w:rsidRDefault="007D69FC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 xml:space="preserve">Pomerantz, S. Raby, R. Stefanik A. 2013. Girls Run </w:t>
      </w:r>
      <w:proofErr w:type="gramStart"/>
      <w:r w:rsidRPr="00D10CBB">
        <w:rPr>
          <w:rFonts w:asciiTheme="majorBidi" w:hAnsiTheme="majorBidi" w:cstheme="majorBidi"/>
        </w:rPr>
        <w:t>The</w:t>
      </w:r>
      <w:proofErr w:type="gramEnd"/>
      <w:r w:rsidRPr="00D10CBB">
        <w:rPr>
          <w:rFonts w:asciiTheme="majorBidi" w:hAnsiTheme="majorBidi" w:cstheme="majorBidi"/>
        </w:rPr>
        <w:t xml:space="preserve"> World? </w:t>
      </w:r>
      <w:r w:rsidRPr="00D10CBB">
        <w:rPr>
          <w:rFonts w:asciiTheme="majorBidi" w:hAnsiTheme="majorBidi" w:cstheme="majorBidi"/>
          <w:i/>
          <w:iCs/>
        </w:rPr>
        <w:t>Gender &amp; Society</w:t>
      </w:r>
      <w:r w:rsidRPr="00D10CBB">
        <w:rPr>
          <w:rFonts w:asciiTheme="majorBidi" w:hAnsiTheme="majorBidi" w:cstheme="majorBidi"/>
        </w:rPr>
        <w:t>, Vol. 27 No. 2, 185-207</w:t>
      </w:r>
      <w:r w:rsidRPr="00D10CBB">
        <w:rPr>
          <w:rFonts w:asciiTheme="majorBidi" w:hAnsiTheme="majorBidi" w:cstheme="majorBidi"/>
          <w:rtl/>
        </w:rPr>
        <w:t>.</w:t>
      </w:r>
    </w:p>
    <w:p w14:paraId="7CE833EC" w14:textId="77777777" w:rsidR="007D69FC" w:rsidRPr="00B31643" w:rsidRDefault="007D69FC" w:rsidP="00B31643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336E40A1" w14:textId="77777777" w:rsidR="007D69FC" w:rsidRPr="00D10CBB" w:rsidRDefault="007D69FC" w:rsidP="00B31643">
      <w:pPr>
        <w:spacing w:line="276" w:lineRule="auto"/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זץ</w:t>
      </w:r>
      <w:proofErr w:type="spellEnd"/>
      <w:r w:rsidRPr="00D10CBB">
        <w:rPr>
          <w:rFonts w:asciiTheme="majorBidi" w:hAnsiTheme="majorBidi" w:cstheme="majorBidi"/>
          <w:rtl/>
        </w:rPr>
        <w:t xml:space="preserve"> יפעת </w:t>
      </w:r>
      <w:proofErr w:type="spellStart"/>
      <w:r w:rsidRPr="00D10CBB">
        <w:rPr>
          <w:rFonts w:asciiTheme="majorBidi" w:hAnsiTheme="majorBidi" w:cstheme="majorBidi"/>
          <w:rtl/>
        </w:rPr>
        <w:t>וארהרד</w:t>
      </w:r>
      <w:proofErr w:type="spellEnd"/>
      <w:r w:rsidRPr="00D10CBB">
        <w:rPr>
          <w:rFonts w:asciiTheme="majorBidi" w:hAnsiTheme="majorBidi" w:cstheme="majorBidi"/>
          <w:rtl/>
        </w:rPr>
        <w:t xml:space="preserve"> רחל. 2013. שיח ושיחה? מאפייני מגדר בייעוץ הפרטני. </w:t>
      </w:r>
      <w:proofErr w:type="spellStart"/>
      <w:r w:rsidRPr="00D10CBB">
        <w:rPr>
          <w:rFonts w:asciiTheme="majorBidi" w:hAnsiTheme="majorBidi" w:cstheme="majorBidi"/>
          <w:rtl/>
        </w:rPr>
        <w:t>עורכים:ברכה</w:t>
      </w:r>
      <w:proofErr w:type="spellEnd"/>
      <w:r w:rsidRPr="00D10CBB">
        <w:rPr>
          <w:rFonts w:asciiTheme="majorBidi" w:hAnsiTheme="majorBidi" w:cstheme="majorBidi"/>
          <w:rtl/>
        </w:rPr>
        <w:t xml:space="preserve"> </w:t>
      </w:r>
      <w:proofErr w:type="spellStart"/>
      <w:r w:rsidRPr="00D10CBB">
        <w:rPr>
          <w:rFonts w:asciiTheme="majorBidi" w:hAnsiTheme="majorBidi" w:cstheme="majorBidi"/>
          <w:rtl/>
        </w:rPr>
        <w:t>אלפרט</w:t>
      </w:r>
      <w:proofErr w:type="spellEnd"/>
      <w:r w:rsidRPr="00D10CBB">
        <w:rPr>
          <w:rFonts w:asciiTheme="majorBidi" w:hAnsiTheme="majorBidi" w:cstheme="majorBidi"/>
          <w:rtl/>
        </w:rPr>
        <w:t xml:space="preserve"> ושמחה שלסקי, הכיתה ובית הספר במבט מקרוב, מכון </w:t>
      </w:r>
      <w:proofErr w:type="spellStart"/>
      <w:r w:rsidRPr="00D10CBB">
        <w:rPr>
          <w:rFonts w:asciiTheme="majorBidi" w:hAnsiTheme="majorBidi" w:cstheme="majorBidi"/>
          <w:rtl/>
        </w:rPr>
        <w:t>מופ"ת</w:t>
      </w:r>
      <w:proofErr w:type="spellEnd"/>
      <w:r w:rsidRPr="00D10CBB">
        <w:rPr>
          <w:rFonts w:asciiTheme="majorBidi" w:hAnsiTheme="majorBidi" w:cstheme="majorBidi"/>
          <w:rtl/>
        </w:rPr>
        <w:t>, 475-504.</w:t>
      </w:r>
    </w:p>
    <w:p w14:paraId="473A28C3" w14:textId="6816006C" w:rsidR="0047642C" w:rsidRPr="00D10CBB" w:rsidRDefault="0047642C" w:rsidP="00B31643">
      <w:pPr>
        <w:spacing w:line="276" w:lineRule="auto"/>
        <w:rPr>
          <w:rFonts w:asciiTheme="majorBidi" w:hAnsiTheme="majorBidi" w:cstheme="majorBidi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עראר</w:t>
      </w:r>
      <w:proofErr w:type="spellEnd"/>
      <w:r w:rsidRPr="00D10CBB">
        <w:rPr>
          <w:rFonts w:asciiTheme="majorBidi" w:hAnsiTheme="majorBidi" w:cstheme="majorBidi"/>
          <w:rtl/>
        </w:rPr>
        <w:t xml:space="preserve">, </w:t>
      </w:r>
      <w:proofErr w:type="spellStart"/>
      <w:r w:rsidRPr="00D10CBB">
        <w:rPr>
          <w:rFonts w:asciiTheme="majorBidi" w:hAnsiTheme="majorBidi" w:cstheme="majorBidi"/>
          <w:rtl/>
        </w:rPr>
        <w:t>ח'אלד</w:t>
      </w:r>
      <w:proofErr w:type="spellEnd"/>
      <w:r w:rsidRPr="00D10CBB">
        <w:rPr>
          <w:rFonts w:asciiTheme="majorBidi" w:hAnsiTheme="majorBidi" w:cstheme="majorBidi"/>
          <w:rtl/>
        </w:rPr>
        <w:t xml:space="preserve">. 2013. השיח המגדרי בבית הספר התיכון הערבי בישראל – חקר מקרה. </w:t>
      </w:r>
      <w:proofErr w:type="spellStart"/>
      <w:r w:rsidRPr="00D10CBB">
        <w:rPr>
          <w:rFonts w:asciiTheme="majorBidi" w:hAnsiTheme="majorBidi" w:cstheme="majorBidi"/>
          <w:rtl/>
        </w:rPr>
        <w:t>עורכים:ברכה</w:t>
      </w:r>
      <w:proofErr w:type="spellEnd"/>
      <w:r w:rsidRPr="00D10CBB">
        <w:rPr>
          <w:rFonts w:asciiTheme="majorBidi" w:hAnsiTheme="majorBidi" w:cstheme="majorBidi"/>
          <w:rtl/>
        </w:rPr>
        <w:t xml:space="preserve"> </w:t>
      </w:r>
      <w:proofErr w:type="spellStart"/>
      <w:r w:rsidRPr="00D10CBB">
        <w:rPr>
          <w:rFonts w:asciiTheme="majorBidi" w:hAnsiTheme="majorBidi" w:cstheme="majorBidi"/>
          <w:rtl/>
        </w:rPr>
        <w:t>אלפרט</w:t>
      </w:r>
      <w:proofErr w:type="spellEnd"/>
      <w:r w:rsidRPr="00D10CBB">
        <w:rPr>
          <w:rFonts w:asciiTheme="majorBidi" w:hAnsiTheme="majorBidi" w:cstheme="majorBidi"/>
          <w:rtl/>
        </w:rPr>
        <w:t xml:space="preserve"> ושמחה שלסקי, הכיתה ובית הספר במבט מקרוב, מכון </w:t>
      </w:r>
      <w:proofErr w:type="spellStart"/>
      <w:r w:rsidRPr="00D10CBB">
        <w:rPr>
          <w:rFonts w:asciiTheme="majorBidi" w:hAnsiTheme="majorBidi" w:cstheme="majorBidi"/>
          <w:rtl/>
        </w:rPr>
        <w:t>מופ"ת</w:t>
      </w:r>
      <w:proofErr w:type="spellEnd"/>
      <w:r w:rsidRPr="00D10CBB">
        <w:rPr>
          <w:rFonts w:asciiTheme="majorBidi" w:hAnsiTheme="majorBidi" w:cstheme="majorBidi"/>
          <w:rtl/>
        </w:rPr>
        <w:t>, 335-366.</w:t>
      </w:r>
    </w:p>
    <w:p w14:paraId="398648BB" w14:textId="77777777" w:rsidR="008E6733" w:rsidRPr="00D10CBB" w:rsidRDefault="008E6733" w:rsidP="00B31643">
      <w:pPr>
        <w:spacing w:line="276" w:lineRule="auto"/>
        <w:rPr>
          <w:rFonts w:asciiTheme="majorBidi" w:hAnsiTheme="majorBidi" w:cstheme="majorBidi"/>
          <w:i/>
          <w:iCs/>
          <w:rtl/>
        </w:rPr>
      </w:pPr>
      <w:r w:rsidRPr="00D10CBB">
        <w:rPr>
          <w:rFonts w:asciiTheme="majorBidi" w:hAnsiTheme="majorBidi" w:cstheme="majorBidi"/>
          <w:rtl/>
        </w:rPr>
        <w:t xml:space="preserve">רמתי-דביר, </w:t>
      </w:r>
      <w:proofErr w:type="spellStart"/>
      <w:r w:rsidRPr="00D10CBB">
        <w:rPr>
          <w:rFonts w:asciiTheme="majorBidi" w:hAnsiTheme="majorBidi" w:cstheme="majorBidi"/>
          <w:rtl/>
        </w:rPr>
        <w:t>אורנית</w:t>
      </w:r>
      <w:proofErr w:type="spellEnd"/>
      <w:r w:rsidRPr="00D10CBB">
        <w:rPr>
          <w:rFonts w:asciiTheme="majorBidi" w:hAnsiTheme="majorBidi" w:cstheme="majorBidi"/>
          <w:rtl/>
        </w:rPr>
        <w:t xml:space="preserve">. 2017 .שיחים הגמוניים והשיח החסר בקרב מורות לחינוך גופני לנערות. </w:t>
      </w:r>
      <w:r w:rsidRPr="00D10CBB">
        <w:rPr>
          <w:rFonts w:asciiTheme="majorBidi" w:hAnsiTheme="majorBidi" w:cstheme="majorBidi"/>
          <w:i/>
          <w:iCs/>
          <w:rtl/>
        </w:rPr>
        <w:t>נערות</w:t>
      </w:r>
    </w:p>
    <w:p w14:paraId="6FA0F7E3" w14:textId="4C67BF60" w:rsidR="008E6733" w:rsidRPr="00D10CBB" w:rsidRDefault="008E6733" w:rsidP="00B31643">
      <w:pPr>
        <w:spacing w:before="0"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i/>
          <w:iCs/>
          <w:rtl/>
        </w:rPr>
        <w:t>וגופן מדברות, נוכחות, נסתרות</w:t>
      </w:r>
      <w:r w:rsidRPr="00D10CBB">
        <w:rPr>
          <w:rFonts w:asciiTheme="majorBidi" w:hAnsiTheme="majorBidi" w:cstheme="majorBidi"/>
          <w:rtl/>
        </w:rPr>
        <w:t>. בעריכת: עינת לחובר, עינת פלד, מיכל קומם. מאגנס, ירושלים</w:t>
      </w:r>
      <w:r w:rsidR="005E50C0" w:rsidRPr="00D10CBB">
        <w:rPr>
          <w:rFonts w:asciiTheme="majorBidi" w:hAnsiTheme="majorBidi" w:cstheme="majorBidi"/>
          <w:rtl/>
        </w:rPr>
        <w:t>,</w:t>
      </w:r>
    </w:p>
    <w:p w14:paraId="78396A82" w14:textId="0DB6BCFB" w:rsidR="0007598E" w:rsidRDefault="008E6733" w:rsidP="00B31643">
      <w:pPr>
        <w:spacing w:before="0" w:line="276" w:lineRule="auto"/>
        <w:rPr>
          <w:rFonts w:asciiTheme="majorBidi" w:eastAsiaTheme="majorEastAsia" w:hAnsiTheme="majorBidi" w:cstheme="majorBidi"/>
          <w:b/>
          <w:bCs/>
          <w:snapToGrid w:val="0"/>
          <w:rtl/>
        </w:rPr>
      </w:pPr>
      <w:r w:rsidRPr="00D10CBB">
        <w:rPr>
          <w:rFonts w:asciiTheme="majorBidi" w:hAnsiTheme="majorBidi" w:cstheme="majorBidi"/>
          <w:rtl/>
        </w:rPr>
        <w:t>134 – 113</w:t>
      </w:r>
      <w:r w:rsidR="005E50C0" w:rsidRPr="00D10CBB">
        <w:rPr>
          <w:rFonts w:asciiTheme="majorBidi" w:hAnsiTheme="majorBidi" w:cstheme="majorBidi"/>
          <w:rtl/>
        </w:rPr>
        <w:t>.</w:t>
      </w:r>
    </w:p>
    <w:p w14:paraId="367CA5CD" w14:textId="77777777" w:rsidR="00B31643" w:rsidRPr="00D10CBB" w:rsidRDefault="00B31643" w:rsidP="00B31643">
      <w:pPr>
        <w:spacing w:before="0" w:line="276" w:lineRule="auto"/>
        <w:rPr>
          <w:rFonts w:asciiTheme="majorBidi" w:eastAsiaTheme="majorEastAsia" w:hAnsiTheme="majorBidi" w:cstheme="majorBidi"/>
          <w:b/>
          <w:bCs/>
          <w:snapToGrid w:val="0"/>
          <w:rtl/>
        </w:rPr>
      </w:pPr>
    </w:p>
    <w:p w14:paraId="27B23370" w14:textId="7EA0C1D8" w:rsidR="006B2809" w:rsidRPr="00B31643" w:rsidRDefault="006B2809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 xml:space="preserve">שיעור </w:t>
      </w:r>
      <w:r w:rsidR="00FF5BDF" w:rsidRPr="00B31643">
        <w:rPr>
          <w:sz w:val="26"/>
          <w:szCs w:val="26"/>
          <w:rtl/>
        </w:rPr>
        <w:t>1</w:t>
      </w:r>
      <w:r w:rsidR="00350A36" w:rsidRPr="00B31643">
        <w:rPr>
          <w:sz w:val="26"/>
          <w:szCs w:val="26"/>
        </w:rPr>
        <w:t>1</w:t>
      </w:r>
      <w:r w:rsidRPr="00B31643">
        <w:rPr>
          <w:sz w:val="26"/>
          <w:szCs w:val="26"/>
          <w:rtl/>
        </w:rPr>
        <w:t xml:space="preserve">: מגדר, מעמד ואתניות בחינוך </w:t>
      </w:r>
    </w:p>
    <w:p w14:paraId="7A6C0615" w14:textId="77777777" w:rsidR="007D286F" w:rsidRPr="00B31643" w:rsidRDefault="007D286F" w:rsidP="007D286F">
      <w:pPr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  <w:t>חובה</w:t>
      </w:r>
    </w:p>
    <w:p w14:paraId="1D324EE3" w14:textId="547CA1DB" w:rsidR="007D286F" w:rsidRPr="00D10CBB" w:rsidRDefault="007D286F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snapToGrid w:val="0"/>
          <w:rtl/>
        </w:rPr>
        <w:t xml:space="preserve">יונה, י. </w:t>
      </w:r>
      <w:proofErr w:type="spellStart"/>
      <w:r w:rsidRPr="00D10CBB">
        <w:rPr>
          <w:rFonts w:asciiTheme="majorBidi" w:hAnsiTheme="majorBidi" w:cstheme="majorBidi"/>
          <w:snapToGrid w:val="0"/>
          <w:rtl/>
        </w:rPr>
        <w:t>וספורטא</w:t>
      </w:r>
      <w:proofErr w:type="spellEnd"/>
      <w:r w:rsidRPr="00D10CBB">
        <w:rPr>
          <w:rFonts w:asciiTheme="majorBidi" w:hAnsiTheme="majorBidi" w:cstheme="majorBidi"/>
          <w:snapToGrid w:val="0"/>
          <w:rtl/>
        </w:rPr>
        <w:t xml:space="preserve">, י. 2005. "מערכת החינוך וחלוקת העבודה המגדרית </w:t>
      </w:r>
      <w:proofErr w:type="spellStart"/>
      <w:r w:rsidRPr="00D10CBB">
        <w:rPr>
          <w:rFonts w:asciiTheme="majorBidi" w:hAnsiTheme="majorBidi" w:cstheme="majorBidi"/>
          <w:snapToGrid w:val="0"/>
          <w:rtl/>
        </w:rPr>
        <w:t>והאתנו</w:t>
      </w:r>
      <w:proofErr w:type="spellEnd"/>
      <w:r w:rsidRPr="00D10CBB">
        <w:rPr>
          <w:rFonts w:asciiTheme="majorBidi" w:hAnsiTheme="majorBidi" w:cstheme="majorBidi"/>
          <w:snapToGrid w:val="0"/>
          <w:rtl/>
        </w:rPr>
        <w:t xml:space="preserve">-מגדרית בישראל: מבט אל העבר", בתוך: ה. דהאן-כלב, ואחרות (עורכות), </w:t>
      </w:r>
      <w:r w:rsidRPr="00D10CBB">
        <w:rPr>
          <w:rFonts w:asciiTheme="majorBidi" w:hAnsiTheme="majorBidi" w:cstheme="majorBidi"/>
          <w:i/>
          <w:iCs/>
          <w:snapToGrid w:val="0"/>
          <w:rtl/>
        </w:rPr>
        <w:t>נשים בדרום - מרחב, פריפריה, מגדר</w:t>
      </w:r>
      <w:r w:rsidRPr="00D10CBB">
        <w:rPr>
          <w:rFonts w:asciiTheme="majorBidi" w:hAnsiTheme="majorBidi" w:cstheme="majorBidi"/>
          <w:snapToGrid w:val="0"/>
          <w:rtl/>
        </w:rPr>
        <w:t>, תל-אביב: מכון בן-גוריון, עמ' 188-223.</w:t>
      </w:r>
    </w:p>
    <w:p w14:paraId="4C5A1EBB" w14:textId="2472EB12" w:rsidR="00634FE2" w:rsidRPr="00D10CBB" w:rsidRDefault="004F7C5D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 xml:space="preserve">Sutton </w:t>
      </w:r>
      <w:r w:rsidR="006E7E24" w:rsidRPr="00D10CBB">
        <w:rPr>
          <w:rFonts w:asciiTheme="majorBidi" w:hAnsiTheme="majorBidi" w:cstheme="majorBidi"/>
        </w:rPr>
        <w:t xml:space="preserve">April, </w:t>
      </w:r>
      <w:r w:rsidRPr="00D10CBB">
        <w:rPr>
          <w:rFonts w:asciiTheme="majorBidi" w:hAnsiTheme="majorBidi" w:cstheme="majorBidi"/>
        </w:rPr>
        <w:t xml:space="preserve">Bosky </w:t>
      </w:r>
      <w:r w:rsidR="006E7E24" w:rsidRPr="00D10CBB">
        <w:rPr>
          <w:rFonts w:asciiTheme="majorBidi" w:hAnsiTheme="majorBidi" w:cstheme="majorBidi"/>
        </w:rPr>
        <w:t xml:space="preserve">Amanda, and </w:t>
      </w:r>
      <w:r w:rsidRPr="00D10CBB">
        <w:rPr>
          <w:rFonts w:asciiTheme="majorBidi" w:hAnsiTheme="majorBidi" w:cstheme="majorBidi"/>
        </w:rPr>
        <w:t xml:space="preserve">Muller </w:t>
      </w:r>
      <w:r w:rsidR="006E7E24" w:rsidRPr="00D10CBB">
        <w:rPr>
          <w:rFonts w:asciiTheme="majorBidi" w:hAnsiTheme="majorBidi" w:cstheme="majorBidi"/>
        </w:rPr>
        <w:t xml:space="preserve">Chandra. 2016. </w:t>
      </w:r>
      <w:r w:rsidR="00634FE2" w:rsidRPr="00D10CBB">
        <w:rPr>
          <w:rFonts w:asciiTheme="majorBidi" w:hAnsiTheme="majorBidi" w:cstheme="majorBidi"/>
        </w:rPr>
        <w:t>Manufacturing Gender Inequality in the New Economy</w:t>
      </w:r>
      <w:r w:rsidR="0015157F" w:rsidRPr="00D10CBB">
        <w:rPr>
          <w:rFonts w:asciiTheme="majorBidi" w:hAnsiTheme="majorBidi" w:cstheme="majorBidi"/>
        </w:rPr>
        <w:t>: High School Training for Work in Blue-Collar Communities</w:t>
      </w:r>
      <w:r w:rsidR="00D0214A" w:rsidRPr="00D10CBB">
        <w:rPr>
          <w:rFonts w:asciiTheme="majorBidi" w:hAnsiTheme="majorBidi" w:cstheme="majorBidi"/>
        </w:rPr>
        <w:t xml:space="preserve">. </w:t>
      </w:r>
      <w:r w:rsidR="00513226" w:rsidRPr="00D10CBB">
        <w:rPr>
          <w:rFonts w:asciiTheme="majorBidi" w:hAnsiTheme="majorBidi" w:cstheme="majorBidi"/>
          <w:i/>
          <w:iCs/>
        </w:rPr>
        <w:t>American Sociological Review</w:t>
      </w:r>
      <w:r w:rsidR="00513226" w:rsidRPr="00D10CBB">
        <w:rPr>
          <w:rFonts w:asciiTheme="majorBidi" w:hAnsiTheme="majorBidi" w:cstheme="majorBidi"/>
        </w:rPr>
        <w:t>, Vol. 81(4) 720–748</w:t>
      </w:r>
      <w:r w:rsidR="00303BBA" w:rsidRPr="00D10CBB">
        <w:rPr>
          <w:rFonts w:asciiTheme="majorBidi" w:hAnsiTheme="majorBidi" w:cstheme="majorBidi"/>
        </w:rPr>
        <w:t>.</w:t>
      </w:r>
    </w:p>
    <w:p w14:paraId="59F9C93A" w14:textId="77777777" w:rsidR="00B31643" w:rsidRDefault="00B31643" w:rsidP="005C0098">
      <w:pPr>
        <w:rPr>
          <w:rFonts w:asciiTheme="majorBidi" w:hAnsiTheme="majorBidi" w:cstheme="majorBidi"/>
          <w:b/>
          <w:bCs/>
          <w:snapToGrid w:val="0"/>
          <w:rtl/>
        </w:rPr>
      </w:pPr>
    </w:p>
    <w:p w14:paraId="31033333" w14:textId="66F18149" w:rsidR="005C0098" w:rsidRPr="00B31643" w:rsidRDefault="005C0098" w:rsidP="005C0098">
      <w:pPr>
        <w:rPr>
          <w:rFonts w:asciiTheme="majorBidi" w:hAnsiTheme="majorBidi" w:cstheme="majorBidi"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  <w:t>הרחבה</w:t>
      </w:r>
      <w:r w:rsidRPr="00B31643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2D00344" w14:textId="77777777" w:rsidR="005C0098" w:rsidRPr="00D10CBB" w:rsidRDefault="005C0098" w:rsidP="00B31643">
      <w:pPr>
        <w:spacing w:line="276" w:lineRule="auto"/>
        <w:rPr>
          <w:rFonts w:asciiTheme="majorBidi" w:hAnsiTheme="majorBidi" w:cstheme="majorBidi"/>
          <w:snapToGrid w:val="0"/>
          <w:rtl/>
        </w:rPr>
      </w:pPr>
      <w:proofErr w:type="spellStart"/>
      <w:r w:rsidRPr="00D10CBB">
        <w:rPr>
          <w:rFonts w:asciiTheme="majorBidi" w:hAnsiTheme="majorBidi" w:cstheme="majorBidi"/>
          <w:rtl/>
        </w:rPr>
        <w:t>בלנק</w:t>
      </w:r>
      <w:proofErr w:type="spellEnd"/>
      <w:r w:rsidRPr="00D10CBB">
        <w:rPr>
          <w:rFonts w:asciiTheme="majorBidi" w:hAnsiTheme="majorBidi" w:cstheme="majorBidi"/>
          <w:rtl/>
        </w:rPr>
        <w:t xml:space="preserve">, שביט </w:t>
      </w:r>
      <w:proofErr w:type="spellStart"/>
      <w:r w:rsidRPr="00D10CBB">
        <w:rPr>
          <w:rFonts w:asciiTheme="majorBidi" w:hAnsiTheme="majorBidi" w:cstheme="majorBidi"/>
          <w:rtl/>
        </w:rPr>
        <w:t>ויעיש</w:t>
      </w:r>
      <w:proofErr w:type="spellEnd"/>
      <w:r w:rsidRPr="00D10CBB">
        <w:rPr>
          <w:rFonts w:asciiTheme="majorBidi" w:hAnsiTheme="majorBidi" w:cstheme="majorBidi"/>
          <w:snapToGrid w:val="0"/>
          <w:rtl/>
        </w:rPr>
        <w:t xml:space="preserve">. 2015. הסללה בחינוך התיכוני בישראל. </w:t>
      </w:r>
      <w:r w:rsidRPr="00D10CBB">
        <w:rPr>
          <w:rFonts w:asciiTheme="majorBidi" w:hAnsiTheme="majorBidi" w:cstheme="majorBidi"/>
          <w:i/>
          <w:iCs/>
          <w:rtl/>
        </w:rPr>
        <w:t>דוח מצב המדינה – חברה, כלכלה ומדיניות</w:t>
      </w:r>
      <w:r w:rsidRPr="00D10CBB">
        <w:rPr>
          <w:rFonts w:asciiTheme="majorBidi" w:hAnsiTheme="majorBidi" w:cstheme="majorBidi"/>
          <w:rtl/>
        </w:rPr>
        <w:t xml:space="preserve">, 413 – 435. </w:t>
      </w:r>
    </w:p>
    <w:p w14:paraId="611A3C71" w14:textId="77777777" w:rsidR="005C0098" w:rsidRPr="00D10CBB" w:rsidRDefault="0055414F" w:rsidP="00B31643">
      <w:pPr>
        <w:spacing w:line="276" w:lineRule="auto"/>
        <w:rPr>
          <w:rFonts w:asciiTheme="majorBidi" w:hAnsiTheme="majorBidi" w:cstheme="majorBidi"/>
          <w:snapToGrid w:val="0"/>
          <w:rtl/>
        </w:rPr>
      </w:pPr>
      <w:hyperlink r:id="rId11" w:history="1">
        <w:r w:rsidR="005C0098" w:rsidRPr="00D10CBB">
          <w:rPr>
            <w:rStyle w:val="Hyperlink"/>
            <w:rFonts w:asciiTheme="majorBidi" w:hAnsiTheme="majorBidi" w:cstheme="majorBidi"/>
            <w:snapToGrid w:val="0"/>
            <w:color w:val="auto"/>
          </w:rPr>
          <w:t>http://taubcenter.org.il/wp-content/files_mf/trackingandattainment2015heb.pdf</w:t>
        </w:r>
      </w:hyperlink>
    </w:p>
    <w:p w14:paraId="468D94BD" w14:textId="2AD0C7A1" w:rsidR="006B2809" w:rsidRPr="00D10CBB" w:rsidRDefault="006B2809" w:rsidP="00B31643">
      <w:pPr>
        <w:spacing w:line="276" w:lineRule="auto"/>
        <w:rPr>
          <w:rFonts w:asciiTheme="majorBidi" w:hAnsiTheme="majorBidi" w:cstheme="majorBidi"/>
          <w:shd w:val="clear" w:color="auto" w:fill="FAFAFA"/>
          <w:rtl/>
        </w:rPr>
      </w:pPr>
      <w:r w:rsidRPr="00D10CBB">
        <w:rPr>
          <w:rFonts w:asciiTheme="majorBidi" w:hAnsiTheme="majorBidi" w:cstheme="majorBidi"/>
          <w:shd w:val="clear" w:color="auto" w:fill="FAFAFA"/>
          <w:rtl/>
        </w:rPr>
        <w:t xml:space="preserve">אבו-רביעה </w:t>
      </w:r>
      <w:proofErr w:type="spellStart"/>
      <w:r w:rsidRPr="00D10CBB">
        <w:rPr>
          <w:rFonts w:asciiTheme="majorBidi" w:hAnsiTheme="majorBidi" w:cstheme="majorBidi"/>
          <w:shd w:val="clear" w:color="auto" w:fill="FAFAFA"/>
          <w:rtl/>
        </w:rPr>
        <w:t>קוידר</w:t>
      </w:r>
      <w:proofErr w:type="spellEnd"/>
      <w:r w:rsidRPr="00D10CBB">
        <w:rPr>
          <w:rFonts w:asciiTheme="majorBidi" w:hAnsiTheme="majorBidi" w:cstheme="majorBidi"/>
          <w:shd w:val="clear" w:color="auto" w:fill="FAFAFA"/>
          <w:rtl/>
        </w:rPr>
        <w:t xml:space="preserve">, </w:t>
      </w:r>
      <w:proofErr w:type="spellStart"/>
      <w:r w:rsidRPr="00D10CBB">
        <w:rPr>
          <w:rFonts w:asciiTheme="majorBidi" w:hAnsiTheme="majorBidi" w:cstheme="majorBidi"/>
          <w:shd w:val="clear" w:color="auto" w:fill="FAFAFA"/>
          <w:rtl/>
        </w:rPr>
        <w:t>סראב</w:t>
      </w:r>
      <w:proofErr w:type="spellEnd"/>
      <w:r w:rsidRPr="00D10CBB">
        <w:rPr>
          <w:rFonts w:asciiTheme="majorBidi" w:hAnsiTheme="majorBidi" w:cstheme="majorBidi"/>
          <w:shd w:val="clear" w:color="auto" w:fill="FAFAFA"/>
          <w:rtl/>
        </w:rPr>
        <w:t xml:space="preserve">, 2006. "מגדר בחינוך הבדווי - אפליה פוסט-מודרנית", בתוך: שלמה חסון </w:t>
      </w:r>
      <w:proofErr w:type="spellStart"/>
      <w:r w:rsidRPr="00D10CBB">
        <w:rPr>
          <w:rFonts w:asciiTheme="majorBidi" w:hAnsiTheme="majorBidi" w:cstheme="majorBidi"/>
          <w:shd w:val="clear" w:color="auto" w:fill="FAFAFA"/>
          <w:rtl/>
        </w:rPr>
        <w:t>ומיכאיל</w:t>
      </w:r>
      <w:proofErr w:type="spellEnd"/>
      <w:r w:rsidRPr="00D10CBB">
        <w:rPr>
          <w:rFonts w:asciiTheme="majorBidi" w:hAnsiTheme="majorBidi" w:cstheme="majorBidi"/>
          <w:shd w:val="clear" w:color="auto" w:fill="FAFAFA"/>
          <w:rtl/>
        </w:rPr>
        <w:t xml:space="preserve"> קרייני (עורכים), </w:t>
      </w:r>
      <w:r w:rsidRPr="00D10CBB">
        <w:rPr>
          <w:rFonts w:asciiTheme="majorBidi" w:hAnsiTheme="majorBidi" w:cstheme="majorBidi"/>
          <w:i/>
          <w:iCs/>
          <w:shd w:val="clear" w:color="auto" w:fill="FAFAFA"/>
          <w:rtl/>
        </w:rPr>
        <w:t>חסמים בפני שוויון הערבים בישראל</w:t>
      </w:r>
      <w:r w:rsidRPr="00D10CBB">
        <w:rPr>
          <w:rFonts w:asciiTheme="majorBidi" w:hAnsiTheme="majorBidi" w:cstheme="majorBidi"/>
          <w:shd w:val="clear" w:color="auto" w:fill="FAFAFA"/>
          <w:rtl/>
        </w:rPr>
        <w:t xml:space="preserve">, ירושלים: מכון </w:t>
      </w:r>
      <w:proofErr w:type="spellStart"/>
      <w:r w:rsidRPr="00D10CBB">
        <w:rPr>
          <w:rFonts w:asciiTheme="majorBidi" w:hAnsiTheme="majorBidi" w:cstheme="majorBidi"/>
          <w:shd w:val="clear" w:color="auto" w:fill="FAFAFA"/>
          <w:rtl/>
        </w:rPr>
        <w:t>פלורסהיימר</w:t>
      </w:r>
      <w:proofErr w:type="spellEnd"/>
      <w:r w:rsidRPr="00D10CBB">
        <w:rPr>
          <w:rFonts w:asciiTheme="majorBidi" w:hAnsiTheme="majorBidi" w:cstheme="majorBidi"/>
          <w:shd w:val="clear" w:color="auto" w:fill="FAFAFA"/>
          <w:rtl/>
        </w:rPr>
        <w:t xml:space="preserve"> למחקרי מדיניות: 203-195.</w:t>
      </w:r>
    </w:p>
    <w:p w14:paraId="268731EC" w14:textId="5EA98BA3" w:rsidR="00891CC0" w:rsidRDefault="00FB1363" w:rsidP="00B31643">
      <w:pPr>
        <w:spacing w:line="276" w:lineRule="auto"/>
        <w:rPr>
          <w:rFonts w:asciiTheme="majorBidi" w:hAnsiTheme="majorBidi" w:cstheme="majorBidi"/>
          <w:shd w:val="clear" w:color="auto" w:fill="FAFAFA"/>
          <w:rtl/>
        </w:rPr>
      </w:pPr>
      <w:r w:rsidRPr="00D10CBB">
        <w:rPr>
          <w:rFonts w:asciiTheme="majorBidi" w:hAnsiTheme="majorBidi" w:cstheme="majorBidi"/>
          <w:shd w:val="clear" w:color="auto" w:fill="FAFAFA"/>
          <w:rtl/>
        </w:rPr>
        <w:t xml:space="preserve">אבו </w:t>
      </w:r>
      <w:proofErr w:type="spellStart"/>
      <w:r w:rsidRPr="00D10CBB">
        <w:rPr>
          <w:rFonts w:asciiTheme="majorBidi" w:hAnsiTheme="majorBidi" w:cstheme="majorBidi"/>
          <w:shd w:val="clear" w:color="auto" w:fill="FAFAFA"/>
          <w:rtl/>
        </w:rPr>
        <w:t>עסבה</w:t>
      </w:r>
      <w:proofErr w:type="spellEnd"/>
      <w:r w:rsidRPr="00D10CBB">
        <w:rPr>
          <w:rFonts w:asciiTheme="majorBidi" w:hAnsiTheme="majorBidi" w:cstheme="majorBidi"/>
          <w:shd w:val="clear" w:color="auto" w:fill="FAFAFA"/>
          <w:rtl/>
        </w:rPr>
        <w:t xml:space="preserve"> </w:t>
      </w:r>
      <w:proofErr w:type="spellStart"/>
      <w:r w:rsidR="00891CC0" w:rsidRPr="00D10CBB">
        <w:rPr>
          <w:rFonts w:asciiTheme="majorBidi" w:hAnsiTheme="majorBidi" w:cstheme="majorBidi"/>
          <w:shd w:val="clear" w:color="auto" w:fill="FAFAFA"/>
          <w:rtl/>
        </w:rPr>
        <w:t>ח'אלד</w:t>
      </w:r>
      <w:proofErr w:type="spellEnd"/>
      <w:r w:rsidR="00891CC0" w:rsidRPr="00D10CBB">
        <w:rPr>
          <w:rFonts w:asciiTheme="majorBidi" w:hAnsiTheme="majorBidi" w:cstheme="majorBidi"/>
          <w:shd w:val="clear" w:color="auto" w:fill="FAFAFA"/>
          <w:rtl/>
        </w:rPr>
        <w:t xml:space="preserve">, </w:t>
      </w:r>
      <w:r w:rsidRPr="00D10CBB">
        <w:rPr>
          <w:rFonts w:asciiTheme="majorBidi" w:hAnsiTheme="majorBidi" w:cstheme="majorBidi"/>
          <w:shd w:val="clear" w:color="auto" w:fill="FAFAFA"/>
          <w:rtl/>
        </w:rPr>
        <w:t xml:space="preserve">פרסקו </w:t>
      </w:r>
      <w:r w:rsidR="00891CC0" w:rsidRPr="00D10CBB">
        <w:rPr>
          <w:rFonts w:asciiTheme="majorBidi" w:hAnsiTheme="majorBidi" w:cstheme="majorBidi"/>
          <w:shd w:val="clear" w:color="auto" w:fill="FAFAFA"/>
          <w:rtl/>
        </w:rPr>
        <w:t xml:space="preserve">ברברה </w:t>
      </w:r>
      <w:r w:rsidRPr="00D10CBB">
        <w:rPr>
          <w:rFonts w:asciiTheme="majorBidi" w:hAnsiTheme="majorBidi" w:cstheme="majorBidi"/>
          <w:shd w:val="clear" w:color="auto" w:fill="FAFAFA"/>
          <w:rtl/>
        </w:rPr>
        <w:t xml:space="preserve">אבו נסרה </w:t>
      </w:r>
      <w:r w:rsidR="00891CC0" w:rsidRPr="00D10CBB">
        <w:rPr>
          <w:rFonts w:asciiTheme="majorBidi" w:hAnsiTheme="majorBidi" w:cstheme="majorBidi"/>
          <w:shd w:val="clear" w:color="auto" w:fill="FAFAFA"/>
          <w:rtl/>
        </w:rPr>
        <w:t xml:space="preserve">ומוחמד. 2013. </w:t>
      </w:r>
      <w:r w:rsidR="009451E4" w:rsidRPr="00D10CBB">
        <w:rPr>
          <w:rFonts w:asciiTheme="majorBidi" w:hAnsiTheme="majorBidi" w:cstheme="majorBidi"/>
          <w:shd w:val="clear" w:color="auto" w:fill="FAFAFA"/>
          <w:rtl/>
        </w:rPr>
        <w:t>נשירת תלמידים בחינוך הערבי, הבדווי והדרוזי, דוח מסכם.</w:t>
      </w:r>
      <w:r w:rsidR="00D76D18" w:rsidRPr="00D10CBB">
        <w:rPr>
          <w:rFonts w:asciiTheme="majorBidi" w:hAnsiTheme="majorBidi" w:cstheme="majorBidi"/>
          <w:shd w:val="clear" w:color="auto" w:fill="FAFAFA"/>
          <w:rtl/>
        </w:rPr>
        <w:t xml:space="preserve"> משרד החינוך.</w:t>
      </w:r>
    </w:p>
    <w:p w14:paraId="295ED6B1" w14:textId="77777777" w:rsidR="00B31643" w:rsidRPr="00D10CBB" w:rsidRDefault="00B31643" w:rsidP="00B31643">
      <w:pPr>
        <w:spacing w:line="276" w:lineRule="auto"/>
        <w:rPr>
          <w:rFonts w:asciiTheme="majorBidi" w:hAnsiTheme="majorBidi" w:cstheme="majorBidi"/>
          <w:shd w:val="clear" w:color="auto" w:fill="FAFAFA"/>
          <w:rtl/>
        </w:rPr>
      </w:pPr>
    </w:p>
    <w:p w14:paraId="6F79F41B" w14:textId="2E101F0C" w:rsidR="006B2809" w:rsidRPr="00B31643" w:rsidRDefault="006B2809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>שיעור</w:t>
      </w:r>
      <w:r w:rsidR="00350A36" w:rsidRPr="00B31643">
        <w:rPr>
          <w:sz w:val="26"/>
          <w:szCs w:val="26"/>
          <w:rtl/>
        </w:rPr>
        <w:t>ים</w:t>
      </w:r>
      <w:r w:rsidRPr="00B31643">
        <w:rPr>
          <w:sz w:val="26"/>
          <w:szCs w:val="26"/>
          <w:rtl/>
        </w:rPr>
        <w:t xml:space="preserve"> </w:t>
      </w:r>
      <w:r w:rsidR="00350A36" w:rsidRPr="00B31643">
        <w:rPr>
          <w:sz w:val="26"/>
          <w:szCs w:val="26"/>
          <w:rtl/>
        </w:rPr>
        <w:t xml:space="preserve"> 12 - 13</w:t>
      </w:r>
      <w:r w:rsidRPr="00B31643">
        <w:rPr>
          <w:sz w:val="26"/>
          <w:szCs w:val="26"/>
          <w:rtl/>
        </w:rPr>
        <w:t xml:space="preserve">: אלימות </w:t>
      </w:r>
      <w:r w:rsidR="00364385" w:rsidRPr="00B31643">
        <w:rPr>
          <w:sz w:val="26"/>
          <w:szCs w:val="26"/>
          <w:rtl/>
        </w:rPr>
        <w:t xml:space="preserve">מגדרית </w:t>
      </w:r>
      <w:r w:rsidRPr="00B31643">
        <w:rPr>
          <w:sz w:val="26"/>
          <w:szCs w:val="26"/>
          <w:rtl/>
        </w:rPr>
        <w:t>בחינוך</w:t>
      </w:r>
    </w:p>
    <w:p w14:paraId="3496A3A6" w14:textId="30BB5DE3" w:rsidR="005C0098" w:rsidRPr="00B31643" w:rsidRDefault="005C0098" w:rsidP="005C0098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חובה</w:t>
      </w:r>
    </w:p>
    <w:p w14:paraId="1F0DA44F" w14:textId="4864E491" w:rsidR="004543CD" w:rsidRPr="00D10CBB" w:rsidRDefault="004543CD" w:rsidP="00B31643">
      <w:pPr>
        <w:bidi w:val="0"/>
        <w:spacing w:line="276" w:lineRule="auto"/>
        <w:rPr>
          <w:rFonts w:asciiTheme="majorBidi" w:hAnsiTheme="majorBidi" w:cstheme="majorBidi"/>
          <w:b/>
          <w:bCs/>
          <w:rtl/>
        </w:rPr>
      </w:pPr>
      <w:r w:rsidRPr="00D10CBB">
        <w:rPr>
          <w:rFonts w:asciiTheme="majorBidi" w:hAnsiTheme="majorBidi" w:cstheme="majorBidi"/>
        </w:rPr>
        <w:t xml:space="preserve">Meyer, E. J. 2008. A Feminist Reframing of Bulling and Harassment: Transforming Schools Through Critical Pedagogy. </w:t>
      </w:r>
      <w:proofErr w:type="spellStart"/>
      <w:r w:rsidRPr="00D10CBB">
        <w:rPr>
          <w:rFonts w:asciiTheme="majorBidi" w:hAnsiTheme="majorBidi" w:cstheme="majorBidi"/>
          <w:i/>
          <w:iCs/>
        </w:rPr>
        <w:t>Mcglill</w:t>
      </w:r>
      <w:proofErr w:type="spellEnd"/>
      <w:r w:rsidRPr="00D10CBB">
        <w:rPr>
          <w:rFonts w:asciiTheme="majorBidi" w:hAnsiTheme="majorBidi" w:cstheme="majorBidi"/>
          <w:i/>
          <w:iCs/>
        </w:rPr>
        <w:t xml:space="preserve"> Journal of Education</w:t>
      </w:r>
      <w:r w:rsidRPr="00D10CBB">
        <w:rPr>
          <w:rFonts w:asciiTheme="majorBidi" w:hAnsiTheme="majorBidi" w:cstheme="majorBidi"/>
        </w:rPr>
        <w:t>. Vol. 43 no. 1, 33-48</w:t>
      </w:r>
      <w:r w:rsidRPr="00D10CBB">
        <w:rPr>
          <w:rFonts w:asciiTheme="majorBidi" w:hAnsiTheme="majorBidi" w:cstheme="majorBidi"/>
          <w:b/>
          <w:bCs/>
          <w:rtl/>
        </w:rPr>
        <w:t>.</w:t>
      </w:r>
    </w:p>
    <w:p w14:paraId="1210EA41" w14:textId="77777777" w:rsidR="006B2809" w:rsidRPr="00D10CBB" w:rsidRDefault="006B2809" w:rsidP="00B31643">
      <w:pPr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D10CBB">
        <w:rPr>
          <w:rFonts w:asciiTheme="majorBidi" w:hAnsiTheme="majorBidi" w:cstheme="majorBidi"/>
        </w:rPr>
        <w:t>Renold</w:t>
      </w:r>
      <w:proofErr w:type="spellEnd"/>
      <w:r w:rsidRPr="00D10CBB">
        <w:rPr>
          <w:rFonts w:asciiTheme="majorBidi" w:hAnsiTheme="majorBidi" w:cstheme="majorBidi"/>
        </w:rPr>
        <w:t xml:space="preserve">, E. 2006. ‘They won’t let us play… unless you’re going out with one of them’: Girls, boys and Butler’s ‘heterosexual matrix’ in the primary years. </w:t>
      </w:r>
      <w:r w:rsidRPr="00D10CBB">
        <w:rPr>
          <w:rFonts w:asciiTheme="majorBidi" w:hAnsiTheme="majorBidi" w:cstheme="majorBidi"/>
          <w:i/>
          <w:iCs/>
        </w:rPr>
        <w:t>British Journal of Sociology</w:t>
      </w:r>
      <w:r w:rsidRPr="00D10CBB">
        <w:rPr>
          <w:rFonts w:asciiTheme="majorBidi" w:hAnsiTheme="majorBidi" w:cstheme="majorBidi"/>
        </w:rPr>
        <w:t xml:space="preserve"> of Education, 27(4), 489-509</w:t>
      </w:r>
      <w:r w:rsidRPr="00D10CBB">
        <w:rPr>
          <w:rFonts w:asciiTheme="majorBidi" w:hAnsiTheme="majorBidi" w:cstheme="majorBidi"/>
          <w:rtl/>
        </w:rPr>
        <w:t>.</w:t>
      </w:r>
    </w:p>
    <w:p w14:paraId="2DF77603" w14:textId="77777777" w:rsidR="006B2809" w:rsidRPr="00B31643" w:rsidRDefault="006B2809" w:rsidP="00B31643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097725FD" w14:textId="77777777" w:rsidR="006B2809" w:rsidRPr="00D10CBB" w:rsidRDefault="006B2809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בן עמי, אייל </w:t>
      </w:r>
      <w:proofErr w:type="spellStart"/>
      <w:r w:rsidRPr="00D10CBB">
        <w:rPr>
          <w:rFonts w:asciiTheme="majorBidi" w:hAnsiTheme="majorBidi" w:cstheme="majorBidi"/>
          <w:rtl/>
        </w:rPr>
        <w:t>וארהד</w:t>
      </w:r>
      <w:proofErr w:type="spellEnd"/>
      <w:r w:rsidRPr="00D10CBB">
        <w:rPr>
          <w:rFonts w:asciiTheme="majorBidi" w:hAnsiTheme="majorBidi" w:cstheme="majorBidi"/>
          <w:rtl/>
        </w:rPr>
        <w:t xml:space="preserve">, רחל. 2017. נוער גאה במערכת החינוך: גורמי חוסן ומנגנוני התמודדות עם הומופוביה. </w:t>
      </w:r>
      <w:r w:rsidRPr="00D10CBB">
        <w:rPr>
          <w:rFonts w:asciiTheme="majorBidi" w:hAnsiTheme="majorBidi" w:cstheme="majorBidi"/>
          <w:i/>
          <w:iCs/>
          <w:rtl/>
        </w:rPr>
        <w:t>חברה ורווחה</w:t>
      </w:r>
      <w:r w:rsidRPr="00D10CBB">
        <w:rPr>
          <w:rFonts w:asciiTheme="majorBidi" w:hAnsiTheme="majorBidi" w:cstheme="majorBidi"/>
          <w:rtl/>
        </w:rPr>
        <w:t xml:space="preserve">, </w:t>
      </w:r>
      <w:proofErr w:type="spellStart"/>
      <w:r w:rsidRPr="00D10CBB">
        <w:rPr>
          <w:rFonts w:asciiTheme="majorBidi" w:hAnsiTheme="majorBidi" w:cstheme="majorBidi"/>
          <w:rtl/>
        </w:rPr>
        <w:t>לז</w:t>
      </w:r>
      <w:proofErr w:type="spellEnd"/>
      <w:r w:rsidRPr="00D10CBB">
        <w:rPr>
          <w:rFonts w:asciiTheme="majorBidi" w:hAnsiTheme="majorBidi" w:cstheme="majorBidi"/>
          <w:rtl/>
        </w:rPr>
        <w:t xml:space="preserve"> 2, 317-342.</w:t>
      </w:r>
    </w:p>
    <w:p w14:paraId="3AF906AB" w14:textId="469D04A3" w:rsidR="00380C65" w:rsidRPr="00D10CBB" w:rsidRDefault="008A3421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>פזמוני-לוי, אורן, שילה, גיא ורוגל, אבנר. 2016. מחקר אקלים בתי ספר 2008 – מערכת החינוך הישראלית מנקודת המבט של תלמידים הומואים ולסביות במערכת החינוך בישראל: דו"ח  מחקר. תל-אביב: ארגון נוער גאה.</w:t>
      </w:r>
    </w:p>
    <w:p w14:paraId="6451902C" w14:textId="77777777" w:rsidR="006146ED" w:rsidRPr="00D10CBB" w:rsidRDefault="006146ED" w:rsidP="00B31643">
      <w:pPr>
        <w:pStyle w:val="2"/>
        <w:bidi w:val="0"/>
        <w:spacing w:line="276" w:lineRule="auto"/>
        <w:rPr>
          <w:rtl/>
        </w:rPr>
      </w:pPr>
    </w:p>
    <w:p w14:paraId="4F8854DE" w14:textId="5068ECCF" w:rsidR="00BC621B" w:rsidRPr="00B31643" w:rsidRDefault="006B2809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>שיע</w:t>
      </w:r>
      <w:r w:rsidR="003228DB" w:rsidRPr="00B31643">
        <w:rPr>
          <w:sz w:val="26"/>
          <w:szCs w:val="26"/>
          <w:rtl/>
        </w:rPr>
        <w:t>ור 14</w:t>
      </w:r>
      <w:r w:rsidRPr="00B31643">
        <w:rPr>
          <w:sz w:val="26"/>
          <w:szCs w:val="26"/>
          <w:rtl/>
        </w:rPr>
        <w:t xml:space="preserve">: </w:t>
      </w:r>
      <w:r w:rsidR="00BC621B" w:rsidRPr="00B31643">
        <w:rPr>
          <w:sz w:val="26"/>
          <w:szCs w:val="26"/>
          <w:rtl/>
        </w:rPr>
        <w:t>מורות ותלמידות יוצרות שינוי</w:t>
      </w:r>
    </w:p>
    <w:p w14:paraId="3C2C96CD" w14:textId="6621EB55" w:rsidR="00C12D6B" w:rsidRPr="00B31643" w:rsidRDefault="00C12D6B" w:rsidP="00B31643">
      <w:pPr>
        <w:pStyle w:val="2"/>
        <w:rPr>
          <w:sz w:val="26"/>
          <w:szCs w:val="26"/>
          <w:rtl/>
        </w:rPr>
      </w:pPr>
      <w:r w:rsidRPr="00B31643">
        <w:rPr>
          <w:sz w:val="26"/>
          <w:szCs w:val="26"/>
          <w:rtl/>
        </w:rPr>
        <w:t>חובה</w:t>
      </w:r>
    </w:p>
    <w:p w14:paraId="3E4DF7AB" w14:textId="702697DB" w:rsidR="009F582C" w:rsidRPr="00D10CBB" w:rsidRDefault="009F582C" w:rsidP="00B31643">
      <w:pPr>
        <w:bidi w:val="0"/>
        <w:spacing w:line="276" w:lineRule="auto"/>
        <w:rPr>
          <w:rFonts w:asciiTheme="majorBidi" w:hAnsiTheme="majorBidi" w:cstheme="majorBidi"/>
        </w:rPr>
      </w:pPr>
      <w:r w:rsidRPr="00D10CBB">
        <w:rPr>
          <w:rFonts w:asciiTheme="majorBidi" w:hAnsiTheme="majorBidi" w:cstheme="majorBidi"/>
        </w:rPr>
        <w:t>Martin, Jennifer L.</w:t>
      </w:r>
      <w:r w:rsidR="003877BA" w:rsidRPr="00D10CBB">
        <w:rPr>
          <w:rFonts w:asciiTheme="majorBidi" w:hAnsiTheme="majorBidi" w:cstheme="majorBidi"/>
        </w:rPr>
        <w:t xml:space="preserve"> </w:t>
      </w:r>
      <w:r w:rsidR="00F84946" w:rsidRPr="00D10CBB">
        <w:rPr>
          <w:rFonts w:asciiTheme="majorBidi" w:hAnsiTheme="majorBidi" w:cstheme="majorBidi"/>
        </w:rPr>
        <w:t>&amp;</w:t>
      </w:r>
      <w:r w:rsidRPr="00D10CBB">
        <w:rPr>
          <w:rFonts w:asciiTheme="majorBidi" w:hAnsiTheme="majorBidi" w:cstheme="majorBidi"/>
        </w:rPr>
        <w:t xml:space="preserve"> </w:t>
      </w:r>
      <w:proofErr w:type="spellStart"/>
      <w:r w:rsidRPr="00D10CBB">
        <w:rPr>
          <w:rFonts w:asciiTheme="majorBidi" w:hAnsiTheme="majorBidi" w:cstheme="majorBidi"/>
        </w:rPr>
        <w:t>Beese</w:t>
      </w:r>
      <w:proofErr w:type="spellEnd"/>
      <w:r w:rsidRPr="00D10CBB">
        <w:rPr>
          <w:rFonts w:asciiTheme="majorBidi" w:hAnsiTheme="majorBidi" w:cstheme="majorBidi"/>
        </w:rPr>
        <w:t xml:space="preserve">, Jane A. 2016. Girls Talk Back: Changing School Culture through Feminist and Service-Learning Pedagogies. </w:t>
      </w:r>
      <w:r w:rsidRPr="00D10CBB">
        <w:rPr>
          <w:rFonts w:asciiTheme="majorBidi" w:hAnsiTheme="majorBidi" w:cstheme="majorBidi"/>
          <w:i/>
          <w:iCs/>
        </w:rPr>
        <w:t>High School Journal</w:t>
      </w:r>
      <w:r w:rsidRPr="00D10CBB">
        <w:rPr>
          <w:rFonts w:asciiTheme="majorBidi" w:hAnsiTheme="majorBidi" w:cstheme="majorBidi"/>
        </w:rPr>
        <w:t>, v99 n3 p211-233</w:t>
      </w:r>
      <w:r w:rsidRPr="00D10CBB">
        <w:rPr>
          <w:rFonts w:asciiTheme="majorBidi" w:hAnsiTheme="majorBidi" w:cstheme="majorBidi"/>
          <w:rtl/>
        </w:rPr>
        <w:t>.</w:t>
      </w:r>
    </w:p>
    <w:p w14:paraId="799AE936" w14:textId="77777777" w:rsidR="00E04908" w:rsidRPr="00B31643" w:rsidRDefault="00E04908" w:rsidP="00B31643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31643">
        <w:rPr>
          <w:rFonts w:asciiTheme="majorBidi" w:hAnsiTheme="majorBidi" w:cstheme="majorBidi"/>
          <w:b/>
          <w:bCs/>
          <w:sz w:val="26"/>
          <w:szCs w:val="26"/>
          <w:rtl/>
        </w:rPr>
        <w:t>הרחבה</w:t>
      </w:r>
    </w:p>
    <w:p w14:paraId="0230E314" w14:textId="77777777" w:rsidR="00BC621B" w:rsidRPr="00D10CBB" w:rsidRDefault="00BC621B" w:rsidP="00B31643">
      <w:pPr>
        <w:spacing w:line="276" w:lineRule="auto"/>
        <w:rPr>
          <w:rFonts w:asciiTheme="majorBidi" w:hAnsiTheme="majorBidi" w:cstheme="majorBidi"/>
          <w:rtl/>
        </w:rPr>
      </w:pPr>
      <w:r w:rsidRPr="00D10CBB">
        <w:rPr>
          <w:rFonts w:asciiTheme="majorBidi" w:hAnsiTheme="majorBidi" w:cstheme="majorBidi"/>
          <w:rtl/>
        </w:rPr>
        <w:t xml:space="preserve">ויינר-לוי, נעמי, 2008. פועלן של המורות הדרוזיות הראשונות לקידום ההשכלה ולשינוי תפקיד המגדר של תלמידותיהן, </w:t>
      </w:r>
      <w:r w:rsidRPr="00D10CBB">
        <w:rPr>
          <w:rFonts w:asciiTheme="majorBidi" w:hAnsiTheme="majorBidi" w:cstheme="majorBidi"/>
          <w:i/>
          <w:iCs/>
          <w:rtl/>
        </w:rPr>
        <w:t>דפים</w:t>
      </w:r>
      <w:r w:rsidRPr="00D10CBB">
        <w:rPr>
          <w:rFonts w:asciiTheme="majorBidi" w:hAnsiTheme="majorBidi" w:cstheme="majorBidi"/>
          <w:rtl/>
        </w:rPr>
        <w:t xml:space="preserve"> 46: 237-215.</w:t>
      </w:r>
    </w:p>
    <w:p w14:paraId="28843069" w14:textId="2866861A" w:rsidR="00BC621B" w:rsidRPr="00D10CBB" w:rsidRDefault="002016D4" w:rsidP="00B31643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proofErr w:type="spellStart"/>
      <w:r w:rsidRPr="00D10CBB">
        <w:rPr>
          <w:rFonts w:asciiTheme="majorBidi" w:hAnsiTheme="majorBidi" w:cstheme="majorBidi"/>
        </w:rPr>
        <w:t>Warin</w:t>
      </w:r>
      <w:proofErr w:type="spellEnd"/>
      <w:r w:rsidRPr="00D10CBB">
        <w:rPr>
          <w:rFonts w:asciiTheme="majorBidi" w:hAnsiTheme="majorBidi" w:cstheme="majorBidi"/>
        </w:rPr>
        <w:t xml:space="preserve"> </w:t>
      </w:r>
      <w:r w:rsidR="006F2FE1" w:rsidRPr="00D10CBB">
        <w:rPr>
          <w:rFonts w:asciiTheme="majorBidi" w:hAnsiTheme="majorBidi" w:cstheme="majorBidi"/>
        </w:rPr>
        <w:t xml:space="preserve">Jo &amp; </w:t>
      </w:r>
      <w:proofErr w:type="spellStart"/>
      <w:r w:rsidRPr="00D10CBB">
        <w:rPr>
          <w:rFonts w:asciiTheme="majorBidi" w:hAnsiTheme="majorBidi" w:cstheme="majorBidi"/>
        </w:rPr>
        <w:t>Adriany</w:t>
      </w:r>
      <w:proofErr w:type="spellEnd"/>
      <w:r w:rsidRPr="00D10CBB">
        <w:rPr>
          <w:rFonts w:asciiTheme="majorBidi" w:hAnsiTheme="majorBidi" w:cstheme="majorBidi"/>
        </w:rPr>
        <w:t xml:space="preserve"> </w:t>
      </w:r>
      <w:r w:rsidR="006F2FE1" w:rsidRPr="00D10CBB">
        <w:rPr>
          <w:rFonts w:asciiTheme="majorBidi" w:hAnsiTheme="majorBidi" w:cstheme="majorBidi"/>
        </w:rPr>
        <w:t>Vina</w:t>
      </w:r>
      <w:r w:rsidR="0081221B" w:rsidRPr="00D10CBB">
        <w:rPr>
          <w:rFonts w:asciiTheme="majorBidi" w:hAnsiTheme="majorBidi" w:cstheme="majorBidi"/>
        </w:rPr>
        <w:t>. 201</w:t>
      </w:r>
      <w:r w:rsidR="00780AB4" w:rsidRPr="00D10CBB">
        <w:rPr>
          <w:rFonts w:asciiTheme="majorBidi" w:hAnsiTheme="majorBidi" w:cstheme="majorBidi"/>
        </w:rPr>
        <w:t>7</w:t>
      </w:r>
      <w:r w:rsidR="0081221B" w:rsidRPr="00D10CBB">
        <w:rPr>
          <w:rFonts w:asciiTheme="majorBidi" w:hAnsiTheme="majorBidi" w:cstheme="majorBidi"/>
        </w:rPr>
        <w:t>.</w:t>
      </w:r>
      <w:r w:rsidR="006F2FE1" w:rsidRPr="00D10CBB">
        <w:rPr>
          <w:rFonts w:asciiTheme="majorBidi" w:hAnsiTheme="majorBidi" w:cstheme="majorBidi"/>
        </w:rPr>
        <w:t xml:space="preserve"> </w:t>
      </w:r>
      <w:r w:rsidR="00DE2060" w:rsidRPr="00D10CBB">
        <w:rPr>
          <w:rFonts w:asciiTheme="majorBidi" w:hAnsiTheme="majorBidi" w:cstheme="majorBidi"/>
        </w:rPr>
        <w:t>Gender flexible pedagogy in early childhood education</w:t>
      </w:r>
      <w:r w:rsidR="00016FBA" w:rsidRPr="00D10CBB">
        <w:rPr>
          <w:rFonts w:asciiTheme="majorBidi" w:hAnsiTheme="majorBidi" w:cstheme="majorBidi"/>
        </w:rPr>
        <w:t xml:space="preserve">, </w:t>
      </w:r>
      <w:r w:rsidR="00016FBA" w:rsidRPr="00D10CBB">
        <w:rPr>
          <w:rFonts w:asciiTheme="majorBidi" w:hAnsiTheme="majorBidi" w:cstheme="majorBidi"/>
          <w:i/>
          <w:iCs/>
        </w:rPr>
        <w:t>Journal of Gender Studies</w:t>
      </w:r>
      <w:r w:rsidR="00016FBA" w:rsidRPr="00D10CBB">
        <w:rPr>
          <w:rFonts w:asciiTheme="majorBidi" w:hAnsiTheme="majorBidi" w:cstheme="majorBidi"/>
        </w:rPr>
        <w:t>, 26:4, 375-386, DOI: 10.1080/09589236.2015.1105738</w:t>
      </w:r>
      <w:r w:rsidR="006F2FE1" w:rsidRPr="00D10CBB">
        <w:rPr>
          <w:rFonts w:asciiTheme="majorBidi" w:hAnsiTheme="majorBidi" w:cstheme="majorBidi"/>
        </w:rPr>
        <w:t xml:space="preserve"> </w:t>
      </w:r>
    </w:p>
    <w:sectPr w:rsidR="00BC621B" w:rsidRPr="00D10CBB" w:rsidSect="00D10CBB">
      <w:headerReference w:type="default" r:id="rId12"/>
      <w:footerReference w:type="default" r:id="rId13"/>
      <w:pgSz w:w="11906" w:h="16838"/>
      <w:pgMar w:top="1134" w:right="1361" w:bottom="964" w:left="1077" w:header="720" w:footer="720" w:gutter="567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E619" w14:textId="77777777" w:rsidR="00524DB7" w:rsidRDefault="00524DB7">
      <w:pPr>
        <w:spacing w:before="0"/>
      </w:pPr>
      <w:r>
        <w:separator/>
      </w:r>
    </w:p>
  </w:endnote>
  <w:endnote w:type="continuationSeparator" w:id="0">
    <w:p w14:paraId="760643DF" w14:textId="77777777" w:rsidR="00524DB7" w:rsidRDefault="00524DB7">
      <w:pPr>
        <w:spacing w:before="0"/>
      </w:pPr>
      <w:r>
        <w:continuationSeparator/>
      </w:r>
    </w:p>
  </w:endnote>
  <w:endnote w:type="continuationNotice" w:id="1">
    <w:p w14:paraId="2286B426" w14:textId="77777777" w:rsidR="00524DB7" w:rsidRDefault="00524D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3227" w14:textId="77777777" w:rsidR="000C3439" w:rsidRDefault="00A9411A" w:rsidP="00AF491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835B4">
      <w:rPr>
        <w:rStyle w:val="a7"/>
        <w:noProof/>
        <w:rtl/>
      </w:rPr>
      <w:t>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82E3" w14:textId="77777777" w:rsidR="00524DB7" w:rsidRDefault="00524DB7">
      <w:pPr>
        <w:spacing w:before="0"/>
      </w:pPr>
      <w:r>
        <w:separator/>
      </w:r>
    </w:p>
  </w:footnote>
  <w:footnote w:type="continuationSeparator" w:id="0">
    <w:p w14:paraId="04A3FDE4" w14:textId="77777777" w:rsidR="00524DB7" w:rsidRDefault="00524DB7">
      <w:pPr>
        <w:spacing w:before="0"/>
      </w:pPr>
      <w:r>
        <w:continuationSeparator/>
      </w:r>
    </w:p>
  </w:footnote>
  <w:footnote w:type="continuationNotice" w:id="1">
    <w:p w14:paraId="6AD43F0A" w14:textId="77777777" w:rsidR="00524DB7" w:rsidRDefault="00524DB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EA51" w14:textId="77777777" w:rsidR="000C3439" w:rsidRDefault="0055414F" w:rsidP="00AF491B">
    <w:pPr>
      <w:pStyle w:val="a3"/>
      <w:jc w:val="center"/>
      <w:rPr>
        <w:color w:val="333333"/>
        <w:rtl/>
      </w:rPr>
    </w:pPr>
  </w:p>
  <w:p w14:paraId="6D6CE616" w14:textId="77777777" w:rsidR="000C3439" w:rsidRPr="006F3984" w:rsidRDefault="0055414F" w:rsidP="00AF4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D9E"/>
    <w:multiLevelType w:val="hybridMultilevel"/>
    <w:tmpl w:val="7A5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695"/>
    <w:multiLevelType w:val="hybridMultilevel"/>
    <w:tmpl w:val="FCB677DA"/>
    <w:lvl w:ilvl="0" w:tplc="307686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5EB"/>
    <w:multiLevelType w:val="hybridMultilevel"/>
    <w:tmpl w:val="FA60D2D4"/>
    <w:lvl w:ilvl="0" w:tplc="97C2550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7411093"/>
    <w:multiLevelType w:val="hybridMultilevel"/>
    <w:tmpl w:val="3A9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2AED"/>
    <w:multiLevelType w:val="hybridMultilevel"/>
    <w:tmpl w:val="8E28369A"/>
    <w:lvl w:ilvl="0" w:tplc="0A166F5C">
      <w:start w:val="3"/>
      <w:numFmt w:val="bullet"/>
      <w:lvlText w:val="-"/>
      <w:lvlJc w:val="left"/>
      <w:pPr>
        <w:ind w:left="40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9"/>
    <w:rsid w:val="000037C4"/>
    <w:rsid w:val="00005FAE"/>
    <w:rsid w:val="00015B75"/>
    <w:rsid w:val="00016FBA"/>
    <w:rsid w:val="00050A73"/>
    <w:rsid w:val="0007598E"/>
    <w:rsid w:val="00090A97"/>
    <w:rsid w:val="000A5DA6"/>
    <w:rsid w:val="000B0D13"/>
    <w:rsid w:val="000C25CB"/>
    <w:rsid w:val="000C3493"/>
    <w:rsid w:val="000E1DCE"/>
    <w:rsid w:val="000E6D01"/>
    <w:rsid w:val="000F7E5A"/>
    <w:rsid w:val="00103EA1"/>
    <w:rsid w:val="00121776"/>
    <w:rsid w:val="001305A0"/>
    <w:rsid w:val="00136341"/>
    <w:rsid w:val="00141452"/>
    <w:rsid w:val="001424A1"/>
    <w:rsid w:val="00143E21"/>
    <w:rsid w:val="0015157F"/>
    <w:rsid w:val="00157524"/>
    <w:rsid w:val="0018457C"/>
    <w:rsid w:val="001879BE"/>
    <w:rsid w:val="00191A6C"/>
    <w:rsid w:val="001A129F"/>
    <w:rsid w:val="001C33AD"/>
    <w:rsid w:val="001D2C36"/>
    <w:rsid w:val="001D32A7"/>
    <w:rsid w:val="001F3699"/>
    <w:rsid w:val="0020141F"/>
    <w:rsid w:val="002016D4"/>
    <w:rsid w:val="002160A6"/>
    <w:rsid w:val="00253D9F"/>
    <w:rsid w:val="00260C1F"/>
    <w:rsid w:val="00261E2A"/>
    <w:rsid w:val="002726E9"/>
    <w:rsid w:val="002975BA"/>
    <w:rsid w:val="002B4607"/>
    <w:rsid w:val="002C1313"/>
    <w:rsid w:val="002C1EEB"/>
    <w:rsid w:val="002D7577"/>
    <w:rsid w:val="002F22DF"/>
    <w:rsid w:val="002F554A"/>
    <w:rsid w:val="00303BBA"/>
    <w:rsid w:val="00305613"/>
    <w:rsid w:val="003228DB"/>
    <w:rsid w:val="0032503A"/>
    <w:rsid w:val="00342682"/>
    <w:rsid w:val="0034298A"/>
    <w:rsid w:val="00343721"/>
    <w:rsid w:val="003455F2"/>
    <w:rsid w:val="00350A36"/>
    <w:rsid w:val="00351A6A"/>
    <w:rsid w:val="00363F72"/>
    <w:rsid w:val="00364385"/>
    <w:rsid w:val="003722D9"/>
    <w:rsid w:val="00380C65"/>
    <w:rsid w:val="003830C0"/>
    <w:rsid w:val="00385C13"/>
    <w:rsid w:val="003877BA"/>
    <w:rsid w:val="00392353"/>
    <w:rsid w:val="00396847"/>
    <w:rsid w:val="003B06BB"/>
    <w:rsid w:val="003B3C60"/>
    <w:rsid w:val="003C25EA"/>
    <w:rsid w:val="003C39A4"/>
    <w:rsid w:val="003C76BD"/>
    <w:rsid w:val="003D2212"/>
    <w:rsid w:val="003D3ECD"/>
    <w:rsid w:val="003D6DB3"/>
    <w:rsid w:val="003E62E9"/>
    <w:rsid w:val="003E787D"/>
    <w:rsid w:val="00410212"/>
    <w:rsid w:val="00412884"/>
    <w:rsid w:val="00415906"/>
    <w:rsid w:val="00422ADA"/>
    <w:rsid w:val="004543CD"/>
    <w:rsid w:val="0047642C"/>
    <w:rsid w:val="00480FDA"/>
    <w:rsid w:val="0049403F"/>
    <w:rsid w:val="004957C4"/>
    <w:rsid w:val="004A64B7"/>
    <w:rsid w:val="004B0692"/>
    <w:rsid w:val="004E1365"/>
    <w:rsid w:val="004E46AD"/>
    <w:rsid w:val="004F7B22"/>
    <w:rsid w:val="004F7C5D"/>
    <w:rsid w:val="00501F43"/>
    <w:rsid w:val="005050B1"/>
    <w:rsid w:val="005104A1"/>
    <w:rsid w:val="00513226"/>
    <w:rsid w:val="00513D1E"/>
    <w:rsid w:val="00516C26"/>
    <w:rsid w:val="005247D9"/>
    <w:rsid w:val="00524DB7"/>
    <w:rsid w:val="00525C95"/>
    <w:rsid w:val="005302BB"/>
    <w:rsid w:val="00534C5B"/>
    <w:rsid w:val="00536D63"/>
    <w:rsid w:val="00541644"/>
    <w:rsid w:val="0054327F"/>
    <w:rsid w:val="00547F22"/>
    <w:rsid w:val="00551DCB"/>
    <w:rsid w:val="0055414F"/>
    <w:rsid w:val="00564B0C"/>
    <w:rsid w:val="00566F93"/>
    <w:rsid w:val="005672B1"/>
    <w:rsid w:val="00572DEF"/>
    <w:rsid w:val="00575AF3"/>
    <w:rsid w:val="00582816"/>
    <w:rsid w:val="0058470E"/>
    <w:rsid w:val="0058678B"/>
    <w:rsid w:val="00595C18"/>
    <w:rsid w:val="0059647A"/>
    <w:rsid w:val="005972DB"/>
    <w:rsid w:val="005B3D06"/>
    <w:rsid w:val="005B7A99"/>
    <w:rsid w:val="005C0098"/>
    <w:rsid w:val="005C0E46"/>
    <w:rsid w:val="005C2DD7"/>
    <w:rsid w:val="005C4F6F"/>
    <w:rsid w:val="005C5BBA"/>
    <w:rsid w:val="005C7455"/>
    <w:rsid w:val="005E27DF"/>
    <w:rsid w:val="005E50C0"/>
    <w:rsid w:val="006146ED"/>
    <w:rsid w:val="006229F8"/>
    <w:rsid w:val="00625185"/>
    <w:rsid w:val="00631E27"/>
    <w:rsid w:val="00634FE2"/>
    <w:rsid w:val="006361D7"/>
    <w:rsid w:val="0063699B"/>
    <w:rsid w:val="00636FD9"/>
    <w:rsid w:val="0064199D"/>
    <w:rsid w:val="00645883"/>
    <w:rsid w:val="006571E1"/>
    <w:rsid w:val="006821D7"/>
    <w:rsid w:val="0068652B"/>
    <w:rsid w:val="00695E26"/>
    <w:rsid w:val="006A0234"/>
    <w:rsid w:val="006A08BE"/>
    <w:rsid w:val="006B0CE1"/>
    <w:rsid w:val="006B2809"/>
    <w:rsid w:val="006B6C1E"/>
    <w:rsid w:val="006C6209"/>
    <w:rsid w:val="006D7887"/>
    <w:rsid w:val="006E1BB6"/>
    <w:rsid w:val="006E7E24"/>
    <w:rsid w:val="006F2FE1"/>
    <w:rsid w:val="006F51BE"/>
    <w:rsid w:val="006F7BA4"/>
    <w:rsid w:val="0071128E"/>
    <w:rsid w:val="00711972"/>
    <w:rsid w:val="00712572"/>
    <w:rsid w:val="007144BB"/>
    <w:rsid w:val="007178FA"/>
    <w:rsid w:val="00720B46"/>
    <w:rsid w:val="00722955"/>
    <w:rsid w:val="00730807"/>
    <w:rsid w:val="00731B18"/>
    <w:rsid w:val="00734EF6"/>
    <w:rsid w:val="0074541A"/>
    <w:rsid w:val="007529E0"/>
    <w:rsid w:val="00756C5F"/>
    <w:rsid w:val="0076321E"/>
    <w:rsid w:val="007733F5"/>
    <w:rsid w:val="00776AE4"/>
    <w:rsid w:val="00780AB4"/>
    <w:rsid w:val="00795EA9"/>
    <w:rsid w:val="007A0ED6"/>
    <w:rsid w:val="007A167D"/>
    <w:rsid w:val="007B2A9D"/>
    <w:rsid w:val="007C1547"/>
    <w:rsid w:val="007D0CEC"/>
    <w:rsid w:val="007D286F"/>
    <w:rsid w:val="007D5074"/>
    <w:rsid w:val="007D69FC"/>
    <w:rsid w:val="007E0DCD"/>
    <w:rsid w:val="007E2789"/>
    <w:rsid w:val="007F14E7"/>
    <w:rsid w:val="007F5364"/>
    <w:rsid w:val="00800F67"/>
    <w:rsid w:val="0081221B"/>
    <w:rsid w:val="00836FE2"/>
    <w:rsid w:val="0084690D"/>
    <w:rsid w:val="00856FE6"/>
    <w:rsid w:val="008707B9"/>
    <w:rsid w:val="008850CE"/>
    <w:rsid w:val="00891CC0"/>
    <w:rsid w:val="00893B64"/>
    <w:rsid w:val="008A2A4A"/>
    <w:rsid w:val="008A2F35"/>
    <w:rsid w:val="008A3421"/>
    <w:rsid w:val="008D36DA"/>
    <w:rsid w:val="008D664D"/>
    <w:rsid w:val="008D7580"/>
    <w:rsid w:val="008E00BC"/>
    <w:rsid w:val="008E2C49"/>
    <w:rsid w:val="008E6733"/>
    <w:rsid w:val="008F0E8C"/>
    <w:rsid w:val="00911C53"/>
    <w:rsid w:val="00924B8C"/>
    <w:rsid w:val="009251E4"/>
    <w:rsid w:val="00926D85"/>
    <w:rsid w:val="00932813"/>
    <w:rsid w:val="00932CB5"/>
    <w:rsid w:val="00933F39"/>
    <w:rsid w:val="00940568"/>
    <w:rsid w:val="00941ADB"/>
    <w:rsid w:val="009451E4"/>
    <w:rsid w:val="00947A3C"/>
    <w:rsid w:val="00955D17"/>
    <w:rsid w:val="00955E5A"/>
    <w:rsid w:val="00974D68"/>
    <w:rsid w:val="00990B76"/>
    <w:rsid w:val="0099222F"/>
    <w:rsid w:val="009A1B23"/>
    <w:rsid w:val="009A4D2D"/>
    <w:rsid w:val="009B2203"/>
    <w:rsid w:val="009B22EC"/>
    <w:rsid w:val="009B2CFC"/>
    <w:rsid w:val="009B3573"/>
    <w:rsid w:val="009B36EA"/>
    <w:rsid w:val="009C2C36"/>
    <w:rsid w:val="009C2C80"/>
    <w:rsid w:val="009C3B14"/>
    <w:rsid w:val="009C7A3F"/>
    <w:rsid w:val="009E37A1"/>
    <w:rsid w:val="009F582C"/>
    <w:rsid w:val="009F79EC"/>
    <w:rsid w:val="00A2041B"/>
    <w:rsid w:val="00A20756"/>
    <w:rsid w:val="00A262C1"/>
    <w:rsid w:val="00A35507"/>
    <w:rsid w:val="00A65204"/>
    <w:rsid w:val="00A7598F"/>
    <w:rsid w:val="00A82F1E"/>
    <w:rsid w:val="00A874EF"/>
    <w:rsid w:val="00A91DB6"/>
    <w:rsid w:val="00A9411A"/>
    <w:rsid w:val="00AA618D"/>
    <w:rsid w:val="00AB3A4C"/>
    <w:rsid w:val="00AB61EE"/>
    <w:rsid w:val="00AC06DF"/>
    <w:rsid w:val="00AC4AC3"/>
    <w:rsid w:val="00AD494B"/>
    <w:rsid w:val="00AD6A0C"/>
    <w:rsid w:val="00AE065E"/>
    <w:rsid w:val="00AE2CCB"/>
    <w:rsid w:val="00AE5009"/>
    <w:rsid w:val="00AF218A"/>
    <w:rsid w:val="00AF39CA"/>
    <w:rsid w:val="00B10DE0"/>
    <w:rsid w:val="00B116E9"/>
    <w:rsid w:val="00B2319C"/>
    <w:rsid w:val="00B259E6"/>
    <w:rsid w:val="00B30F55"/>
    <w:rsid w:val="00B31643"/>
    <w:rsid w:val="00B33FE0"/>
    <w:rsid w:val="00B45C39"/>
    <w:rsid w:val="00B50E25"/>
    <w:rsid w:val="00B5670E"/>
    <w:rsid w:val="00B7366B"/>
    <w:rsid w:val="00BA2539"/>
    <w:rsid w:val="00BB0987"/>
    <w:rsid w:val="00BB612F"/>
    <w:rsid w:val="00BC621B"/>
    <w:rsid w:val="00BC6305"/>
    <w:rsid w:val="00BD6512"/>
    <w:rsid w:val="00BE116D"/>
    <w:rsid w:val="00BF1BB5"/>
    <w:rsid w:val="00BF3742"/>
    <w:rsid w:val="00BF7964"/>
    <w:rsid w:val="00C004A3"/>
    <w:rsid w:val="00C10CAE"/>
    <w:rsid w:val="00C12D6B"/>
    <w:rsid w:val="00C20558"/>
    <w:rsid w:val="00C23F85"/>
    <w:rsid w:val="00C24C23"/>
    <w:rsid w:val="00C26ABE"/>
    <w:rsid w:val="00C35A4D"/>
    <w:rsid w:val="00C4302D"/>
    <w:rsid w:val="00C4615F"/>
    <w:rsid w:val="00C64127"/>
    <w:rsid w:val="00C7551C"/>
    <w:rsid w:val="00C77950"/>
    <w:rsid w:val="00C835B4"/>
    <w:rsid w:val="00C84EAB"/>
    <w:rsid w:val="00C8771A"/>
    <w:rsid w:val="00C96B38"/>
    <w:rsid w:val="00C96FA3"/>
    <w:rsid w:val="00C977AD"/>
    <w:rsid w:val="00CA07E9"/>
    <w:rsid w:val="00CA26EE"/>
    <w:rsid w:val="00CA63FC"/>
    <w:rsid w:val="00CB262C"/>
    <w:rsid w:val="00CC64C2"/>
    <w:rsid w:val="00CD0F8D"/>
    <w:rsid w:val="00CE7BCC"/>
    <w:rsid w:val="00D0214A"/>
    <w:rsid w:val="00D10CBB"/>
    <w:rsid w:val="00D12EBB"/>
    <w:rsid w:val="00D3280A"/>
    <w:rsid w:val="00D422A8"/>
    <w:rsid w:val="00D43316"/>
    <w:rsid w:val="00D50F9A"/>
    <w:rsid w:val="00D56646"/>
    <w:rsid w:val="00D56DD0"/>
    <w:rsid w:val="00D63AB3"/>
    <w:rsid w:val="00D70B41"/>
    <w:rsid w:val="00D724B9"/>
    <w:rsid w:val="00D73482"/>
    <w:rsid w:val="00D73EB1"/>
    <w:rsid w:val="00D76D18"/>
    <w:rsid w:val="00D85B88"/>
    <w:rsid w:val="00D90394"/>
    <w:rsid w:val="00D948ED"/>
    <w:rsid w:val="00DB5F3A"/>
    <w:rsid w:val="00DC7FCA"/>
    <w:rsid w:val="00DD7EC0"/>
    <w:rsid w:val="00DE2060"/>
    <w:rsid w:val="00DE4B19"/>
    <w:rsid w:val="00DF0A96"/>
    <w:rsid w:val="00DF0ABD"/>
    <w:rsid w:val="00DF0E02"/>
    <w:rsid w:val="00E02DDB"/>
    <w:rsid w:val="00E04908"/>
    <w:rsid w:val="00E06C21"/>
    <w:rsid w:val="00E42529"/>
    <w:rsid w:val="00E51383"/>
    <w:rsid w:val="00E52FE5"/>
    <w:rsid w:val="00E547E7"/>
    <w:rsid w:val="00E64EB7"/>
    <w:rsid w:val="00E74998"/>
    <w:rsid w:val="00E84F40"/>
    <w:rsid w:val="00E91F45"/>
    <w:rsid w:val="00E957A8"/>
    <w:rsid w:val="00EC7EBF"/>
    <w:rsid w:val="00ED21BA"/>
    <w:rsid w:val="00ED2BCE"/>
    <w:rsid w:val="00ED3C98"/>
    <w:rsid w:val="00EF7839"/>
    <w:rsid w:val="00F05AC8"/>
    <w:rsid w:val="00F0657B"/>
    <w:rsid w:val="00F100FD"/>
    <w:rsid w:val="00F120FC"/>
    <w:rsid w:val="00F17274"/>
    <w:rsid w:val="00F223FA"/>
    <w:rsid w:val="00F31281"/>
    <w:rsid w:val="00F42217"/>
    <w:rsid w:val="00F6319A"/>
    <w:rsid w:val="00F665D1"/>
    <w:rsid w:val="00F76B0D"/>
    <w:rsid w:val="00F84946"/>
    <w:rsid w:val="00F947FA"/>
    <w:rsid w:val="00F949B3"/>
    <w:rsid w:val="00FA0E50"/>
    <w:rsid w:val="00FB1363"/>
    <w:rsid w:val="00FE2946"/>
    <w:rsid w:val="00FF3376"/>
    <w:rsid w:val="00FF38C5"/>
    <w:rsid w:val="00FF474E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BFD1"/>
  <w15:docId w15:val="{5E344990-6163-4A1E-A25E-726F6EF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69FC"/>
    <w:pPr>
      <w:bidi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B2809"/>
    <w:pPr>
      <w:keepNext/>
      <w:keepLines/>
      <w:tabs>
        <w:tab w:val="center" w:pos="4153"/>
        <w:tab w:val="left" w:pos="5752"/>
      </w:tabs>
      <w:spacing w:after="120" w:line="360" w:lineRule="auto"/>
      <w:ind w:left="360"/>
      <w:jc w:val="center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1643"/>
    <w:pPr>
      <w:keepNext/>
      <w:keepLines/>
      <w:spacing w:before="200"/>
      <w:outlineLvl w:val="1"/>
    </w:pPr>
    <w:rPr>
      <w:rFonts w:asciiTheme="majorBidi" w:eastAsiaTheme="majorEastAsia" w:hAnsiTheme="majorBidi" w:cstheme="majorBidi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6B2809"/>
    <w:rPr>
      <w:rFonts w:ascii="Tahoma" w:eastAsiaTheme="majorEastAsia" w:hAnsi="Tahoma" w:cs="Tahoma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B31643"/>
    <w:rPr>
      <w:rFonts w:asciiTheme="majorBidi" w:eastAsiaTheme="majorEastAsia" w:hAnsiTheme="majorBidi" w:cstheme="majorBidi"/>
      <w:b/>
      <w:bCs/>
      <w:snapToGrid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28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B28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28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B280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B2809"/>
    <w:rPr>
      <w:color w:val="0000FF" w:themeColor="hyperlink"/>
      <w:u w:val="single"/>
    </w:rPr>
  </w:style>
  <w:style w:type="character" w:styleId="a7">
    <w:name w:val="page number"/>
    <w:basedOn w:val="a0"/>
    <w:uiPriority w:val="99"/>
    <w:rsid w:val="006B2809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6B2809"/>
    <w:pPr>
      <w:bidi w:val="0"/>
      <w:spacing w:line="360" w:lineRule="auto"/>
    </w:pPr>
    <w:rPr>
      <w:rFonts w:cs="David"/>
      <w:lang w:eastAsia="he-IL"/>
    </w:rPr>
  </w:style>
  <w:style w:type="character" w:customStyle="1" w:styleId="a9">
    <w:name w:val="גוף טקסט תו"/>
    <w:basedOn w:val="a0"/>
    <w:link w:val="a8"/>
    <w:uiPriority w:val="99"/>
    <w:semiHidden/>
    <w:rsid w:val="006B2809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basedOn w:val="a0"/>
    <w:uiPriority w:val="99"/>
    <w:rsid w:val="006B2809"/>
    <w:rPr>
      <w:rFonts w:cs="Times New Roman"/>
    </w:rPr>
  </w:style>
  <w:style w:type="paragraph" w:customStyle="1" w:styleId="nospace">
    <w:name w:val="nospace"/>
    <w:basedOn w:val="a"/>
    <w:uiPriority w:val="99"/>
    <w:rsid w:val="006B2809"/>
    <w:pPr>
      <w:bidi w:val="0"/>
      <w:spacing w:before="100" w:beforeAutospacing="1" w:after="100" w:afterAutospacing="1"/>
    </w:pPr>
  </w:style>
  <w:style w:type="character" w:styleId="aa">
    <w:name w:val="Unresolved Mention"/>
    <w:basedOn w:val="a0"/>
    <w:uiPriority w:val="99"/>
    <w:semiHidden/>
    <w:unhideWhenUsed/>
    <w:rsid w:val="008D36DA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707B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7B22"/>
    <w:pPr>
      <w:spacing w:before="0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4F7B22"/>
    <w:rPr>
      <w:rFonts w:ascii="Tahoma" w:eastAsia="Times New Roman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7D2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.org/uploaded/hafrataedu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tar.cet.ac.il/KotarApp/Viewer.aspx?nBookID=10443974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ubcenter.org.il/wp-content/files_mf/trackingandattainment2015he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i.org.il/he/Research/DocLib/dp2016.02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tar.cet.ac.il/KotarApp/Viewer.aspx?nBookID=104439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עליזה</dc:creator>
  <cp:lastModifiedBy>אורית קנדל</cp:lastModifiedBy>
  <cp:revision>2</cp:revision>
  <dcterms:created xsi:type="dcterms:W3CDTF">2020-07-26T12:45:00Z</dcterms:created>
  <dcterms:modified xsi:type="dcterms:W3CDTF">2020-07-26T12:45:00Z</dcterms:modified>
</cp:coreProperties>
</file>