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795C" w14:textId="77777777" w:rsidR="00CC3ED1" w:rsidRPr="00CC3ED1" w:rsidRDefault="00CC3ED1" w:rsidP="00CC3ED1">
      <w:pPr>
        <w:bidi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 xml:space="preserve">אוניברסיטת בר אילן                                                                  </w:t>
      </w:r>
      <w:r w:rsidR="00BF78E4">
        <w:rPr>
          <w:rFonts w:eastAsiaTheme="minorEastAsia" w:hint="cs"/>
          <w:sz w:val="24"/>
          <w:rtl/>
        </w:rPr>
        <w:t xml:space="preserve">             ד"ר רונית עיר-</w:t>
      </w:r>
      <w:r w:rsidRPr="00CC3ED1">
        <w:rPr>
          <w:rFonts w:eastAsiaTheme="minorEastAsia" w:hint="cs"/>
          <w:sz w:val="24"/>
          <w:rtl/>
        </w:rPr>
        <w:t xml:space="preserve">שי                      </w:t>
      </w:r>
    </w:p>
    <w:p w14:paraId="1EAE795D" w14:textId="77777777" w:rsidR="00CC3ED1" w:rsidRPr="00CC3ED1" w:rsidRDefault="00CC3ED1" w:rsidP="00CC3ED1">
      <w:pPr>
        <w:bidi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 xml:space="preserve">התכנית ללימודי מגדר                                                                             </w:t>
      </w:r>
      <w:r w:rsidRPr="00CC3ED1">
        <w:rPr>
          <w:rFonts w:asciiTheme="majorBidi" w:eastAsiaTheme="minorEastAsia" w:hAnsiTheme="majorBidi" w:cstheme="majorBidi"/>
          <w:sz w:val="24"/>
          <w:rtl/>
        </w:rPr>
        <w:t xml:space="preserve"> </w:t>
      </w:r>
      <w:hyperlink r:id="rId11" w:history="1">
        <w:r w:rsidRPr="00CC3ED1">
          <w:rPr>
            <w:rStyle w:val="Hyperlink"/>
            <w:rFonts w:asciiTheme="majorBidi" w:eastAsiaTheme="minorEastAsia" w:hAnsiTheme="majorBidi" w:cstheme="majorBidi"/>
            <w:sz w:val="24"/>
          </w:rPr>
          <w:t>irshay@netvision.net.il</w:t>
        </w:r>
      </w:hyperlink>
    </w:p>
    <w:p w14:paraId="1EAE795E" w14:textId="56F0DB5A" w:rsidR="00CC3ED1" w:rsidRPr="00CC3ED1" w:rsidRDefault="00CC3ED1" w:rsidP="00CC3ED1">
      <w:pPr>
        <w:bidi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 xml:space="preserve">סמסטר ב' </w:t>
      </w:r>
      <w:r w:rsidR="009757A8">
        <w:rPr>
          <w:rFonts w:eastAsiaTheme="minorEastAsia" w:hint="cs"/>
          <w:sz w:val="24"/>
          <w:rtl/>
        </w:rPr>
        <w:t>תש"פ, 2020</w:t>
      </w:r>
    </w:p>
    <w:p w14:paraId="1EAE795F" w14:textId="7651408F" w:rsidR="00CC3ED1" w:rsidRPr="00CC3ED1" w:rsidRDefault="00CC3ED1" w:rsidP="00CC3ED1">
      <w:pPr>
        <w:bidi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 xml:space="preserve">יום ב' </w:t>
      </w:r>
      <w:r w:rsidR="009757A8">
        <w:rPr>
          <w:rFonts w:eastAsiaTheme="minorEastAsia" w:hint="cs"/>
          <w:sz w:val="24"/>
          <w:rtl/>
        </w:rPr>
        <w:t>10:00-12:00</w:t>
      </w:r>
    </w:p>
    <w:p w14:paraId="1EAE7960" w14:textId="77777777" w:rsidR="00CC3ED1" w:rsidRPr="00CC3ED1" w:rsidRDefault="00CC3ED1" w:rsidP="00CC3ED1">
      <w:pPr>
        <w:bidi/>
        <w:rPr>
          <w:rFonts w:eastAsiaTheme="minorEastAsia"/>
          <w:sz w:val="24"/>
          <w:rtl/>
        </w:rPr>
      </w:pPr>
      <w:r w:rsidRPr="00A15D49">
        <w:rPr>
          <w:rFonts w:eastAsiaTheme="minorEastAsia" w:hint="cs"/>
          <w:sz w:val="24"/>
          <w:rtl/>
        </w:rPr>
        <w:t>מס' הקורס: 27-986-01</w:t>
      </w:r>
      <w:r w:rsidRPr="00CC3ED1">
        <w:rPr>
          <w:rFonts w:eastAsiaTheme="minorEastAsia" w:hint="cs"/>
          <w:sz w:val="24"/>
          <w:rtl/>
        </w:rPr>
        <w:t xml:space="preserve"> </w:t>
      </w:r>
    </w:p>
    <w:p w14:paraId="1EAE7961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2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3" w14:textId="77777777" w:rsidR="00CC3ED1" w:rsidRPr="00CC3ED1" w:rsidRDefault="00CC3ED1" w:rsidP="00CC3ED1">
      <w:pPr>
        <w:bidi/>
        <w:spacing w:line="360" w:lineRule="auto"/>
        <w:jc w:val="center"/>
        <w:rPr>
          <w:rFonts w:eastAsiaTheme="minorEastAsia"/>
          <w:b/>
          <w:bCs/>
          <w:sz w:val="26"/>
          <w:szCs w:val="26"/>
        </w:rPr>
      </w:pPr>
      <w:r w:rsidRPr="00CC3ED1">
        <w:rPr>
          <w:rFonts w:eastAsiaTheme="minorEastAsia" w:hint="cs"/>
          <w:b/>
          <w:bCs/>
          <w:sz w:val="26"/>
          <w:szCs w:val="26"/>
          <w:rtl/>
        </w:rPr>
        <w:t>היהדות לאור הביקורת המגדרית</w:t>
      </w:r>
    </w:p>
    <w:p w14:paraId="1EAE7964" w14:textId="77777777" w:rsid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5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>קורס זה יבקש לבחון את דרכי ההתמודדות עם האתגר שמציב הפמיניזם לדת בשני תחומים:</w:t>
      </w:r>
    </w:p>
    <w:p w14:paraId="1EAE7966" w14:textId="77777777" w:rsidR="00CC3ED1" w:rsidRPr="00CC3ED1" w:rsidRDefault="00CC3ED1" w:rsidP="00C72E4E">
      <w:p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בתחום התיאולוגי – נבחן את האתגר התיאולוגי לאור הבעייתיות שנוסחה על ידי פמיניסטיות נוצריות</w:t>
      </w:r>
      <w:r w:rsidR="008A238B">
        <w:rPr>
          <w:rFonts w:eastAsiaTheme="minorEastAsia" w:hint="cs"/>
          <w:sz w:val="24"/>
          <w:rtl/>
        </w:rPr>
        <w:t>, מוסלמיות</w:t>
      </w:r>
      <w:r w:rsidRPr="00CC3ED1">
        <w:rPr>
          <w:rFonts w:eastAsiaTheme="minorEastAsia" w:hint="cs"/>
          <w:sz w:val="24"/>
          <w:rtl/>
        </w:rPr>
        <w:t xml:space="preserve"> ויהודיות. נדון בשאלת המונותיאיזם, תיאור דמותו הגברית של האל והשלכותיו על עיצוב התודעה הדתית. נדון ברבדים השונים של הבעייתיות התיאולוגית ונלבן </w:t>
      </w:r>
      <w:r w:rsidR="00C72E4E">
        <w:rPr>
          <w:rFonts w:eastAsiaTheme="minorEastAsia" w:hint="cs"/>
          <w:sz w:val="24"/>
          <w:rtl/>
          <w:lang w:val="en-GB"/>
        </w:rPr>
        <w:t>אותן לעומקן.</w:t>
      </w:r>
    </w:p>
    <w:p w14:paraId="1EAE7967" w14:textId="16916BFE" w:rsidR="008A238B" w:rsidRDefault="00CC3ED1" w:rsidP="00174A87">
      <w:pPr>
        <w:bidi/>
        <w:spacing w:line="360" w:lineRule="auto"/>
        <w:rPr>
          <w:rFonts w:eastAsiaTheme="minorEastAsia"/>
          <w:sz w:val="24"/>
          <w:u w:val="single"/>
          <w:rtl/>
        </w:rPr>
      </w:pPr>
      <w:r w:rsidRPr="00CC3ED1">
        <w:rPr>
          <w:rFonts w:eastAsiaTheme="minorEastAsia" w:hint="cs"/>
          <w:sz w:val="24"/>
          <w:rtl/>
        </w:rPr>
        <w:t>בתחום ההלכתי – נבקש לדון בשאלה: מהי המשמעות של עובדת גבריותה של ההלכה, האם קיימות בהלכה הטיות על בסיס מגדרי</w:t>
      </w:r>
      <w:r w:rsidRPr="00CC3ED1">
        <w:rPr>
          <w:rFonts w:eastAsiaTheme="minorEastAsia" w:hint="cs"/>
          <w:sz w:val="24"/>
        </w:rPr>
        <w:t xml:space="preserve"> </w:t>
      </w:r>
      <w:r w:rsidRPr="00CC3ED1">
        <w:rPr>
          <w:rFonts w:eastAsiaTheme="minorEastAsia" w:hint="cs"/>
          <w:sz w:val="24"/>
          <w:rtl/>
        </w:rPr>
        <w:t>והאם י</w:t>
      </w:r>
      <w:r w:rsidR="008A238B">
        <w:rPr>
          <w:rFonts w:eastAsiaTheme="minorEastAsia" w:hint="cs"/>
          <w:sz w:val="24"/>
          <w:rtl/>
        </w:rPr>
        <w:t>יתכן</w:t>
      </w:r>
      <w:r w:rsidRPr="00CC3ED1">
        <w:rPr>
          <w:rFonts w:eastAsiaTheme="minorEastAsia" w:hint="cs"/>
          <w:sz w:val="24"/>
          <w:rtl/>
        </w:rPr>
        <w:t xml:space="preserve"> "קול נשי" בלימוד התורה</w:t>
      </w:r>
      <w:r w:rsidR="008A238B">
        <w:rPr>
          <w:rFonts w:eastAsiaTheme="minorEastAsia" w:hint="cs"/>
          <w:sz w:val="24"/>
          <w:rtl/>
        </w:rPr>
        <w:t xml:space="preserve"> ובפסיקת ההלכה</w:t>
      </w:r>
      <w:r w:rsidRPr="00CC3ED1">
        <w:rPr>
          <w:rFonts w:eastAsiaTheme="minorEastAsia" w:hint="cs"/>
          <w:sz w:val="24"/>
          <w:rtl/>
        </w:rPr>
        <w:t xml:space="preserve">. </w:t>
      </w:r>
      <w:r w:rsidR="00174A87" w:rsidRPr="00317083">
        <w:rPr>
          <w:rFonts w:eastAsiaTheme="minorEastAsia" w:hint="cs"/>
          <w:sz w:val="24"/>
          <w:rtl/>
        </w:rPr>
        <w:t xml:space="preserve">נעסוק במספר סוגיות המעסיקות את הפמיניזם הדתי היהודי כמו: </w:t>
      </w:r>
      <w:r w:rsidR="00C20042" w:rsidRPr="00317083">
        <w:rPr>
          <w:rFonts w:eastAsiaTheme="minorEastAsia" w:hint="cs"/>
          <w:sz w:val="24"/>
          <w:rtl/>
        </w:rPr>
        <w:t xml:space="preserve">תלמוד תורה </w:t>
      </w:r>
      <w:r w:rsidR="00174A87" w:rsidRPr="00317083">
        <w:rPr>
          <w:rFonts w:eastAsiaTheme="minorEastAsia" w:hint="cs"/>
          <w:sz w:val="24"/>
          <w:rtl/>
        </w:rPr>
        <w:t xml:space="preserve">לנשים, צניעות, </w:t>
      </w:r>
      <w:r w:rsidR="00C72E4E" w:rsidRPr="00317083">
        <w:rPr>
          <w:rFonts w:eastAsiaTheme="minorEastAsia" w:hint="cs"/>
          <w:sz w:val="24"/>
          <w:rtl/>
        </w:rPr>
        <w:t>נישואי</w:t>
      </w:r>
      <w:r w:rsidR="00C20042" w:rsidRPr="00317083">
        <w:rPr>
          <w:rFonts w:eastAsiaTheme="minorEastAsia" w:hint="cs"/>
          <w:sz w:val="24"/>
          <w:rtl/>
        </w:rPr>
        <w:t>ם</w:t>
      </w:r>
      <w:r w:rsidR="00C72E4E" w:rsidRPr="00317083">
        <w:rPr>
          <w:rFonts w:eastAsiaTheme="minorEastAsia" w:hint="cs"/>
          <w:sz w:val="24"/>
          <w:rtl/>
        </w:rPr>
        <w:t xml:space="preserve"> וגירושי</w:t>
      </w:r>
      <w:r w:rsidR="00C20042" w:rsidRPr="00317083">
        <w:rPr>
          <w:rFonts w:eastAsiaTheme="minorEastAsia" w:hint="cs"/>
          <w:sz w:val="24"/>
          <w:rtl/>
        </w:rPr>
        <w:t>ם</w:t>
      </w:r>
      <w:r w:rsidR="008F5FE8">
        <w:rPr>
          <w:rFonts w:eastAsiaTheme="minorEastAsia" w:hint="cs"/>
          <w:sz w:val="24"/>
          <w:rtl/>
        </w:rPr>
        <w:t>, להט"ביות ועוד</w:t>
      </w:r>
      <w:r w:rsidR="00317083">
        <w:rPr>
          <w:rFonts w:eastAsiaTheme="minorEastAsia" w:hint="cs"/>
          <w:sz w:val="24"/>
          <w:rtl/>
        </w:rPr>
        <w:t>.</w:t>
      </w:r>
    </w:p>
    <w:p w14:paraId="1EAE7968" w14:textId="77777777" w:rsidR="0033648C" w:rsidRDefault="0033648C" w:rsidP="008A238B">
      <w:pPr>
        <w:bidi/>
        <w:spacing w:line="360" w:lineRule="auto"/>
        <w:rPr>
          <w:rFonts w:eastAsiaTheme="minorEastAsia"/>
          <w:sz w:val="24"/>
          <w:u w:val="single"/>
          <w:rtl/>
        </w:rPr>
      </w:pPr>
    </w:p>
    <w:p w14:paraId="1EAE7969" w14:textId="77777777" w:rsidR="00CC3ED1" w:rsidRPr="00CC3ED1" w:rsidRDefault="00CC3ED1" w:rsidP="0033648C">
      <w:pPr>
        <w:bidi/>
        <w:spacing w:line="360" w:lineRule="auto"/>
        <w:rPr>
          <w:rFonts w:eastAsiaTheme="minorEastAsia"/>
          <w:sz w:val="24"/>
        </w:rPr>
      </w:pPr>
      <w:r w:rsidRPr="00C85463">
        <w:rPr>
          <w:rFonts w:eastAsiaTheme="minorEastAsia" w:hint="cs"/>
          <w:sz w:val="24"/>
          <w:u w:val="single"/>
          <w:rtl/>
        </w:rPr>
        <w:t>מטרות הקורס</w:t>
      </w:r>
      <w:r w:rsidRPr="00CC3ED1">
        <w:rPr>
          <w:rFonts w:eastAsiaTheme="minorEastAsia" w:hint="cs"/>
          <w:sz w:val="24"/>
          <w:rtl/>
        </w:rPr>
        <w:t>:</w:t>
      </w:r>
    </w:p>
    <w:p w14:paraId="1EAE796A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1. להכיר את הביקורת הפמיניסטית על מסורות דתיות בכלל ועל מסורת היהדות בפרט.</w:t>
      </w:r>
    </w:p>
    <w:p w14:paraId="1EAE796B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2. לדון באופן ביקורתי בפתרונות המוצעים במחקר, במישור התיאולוגי וההלכתי.</w:t>
      </w:r>
    </w:p>
    <w:p w14:paraId="1EAE796C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D" w14:textId="77777777" w:rsidR="00CC3ED1" w:rsidRPr="00CC3ED1" w:rsidRDefault="00CC3ED1" w:rsidP="00CC3ED1">
      <w:pPr>
        <w:bidi/>
        <w:spacing w:line="360" w:lineRule="auto"/>
        <w:rPr>
          <w:rFonts w:eastAsiaTheme="minorEastAsia"/>
          <w:sz w:val="24"/>
          <w:rtl/>
        </w:rPr>
      </w:pPr>
    </w:p>
    <w:p w14:paraId="1EAE796E" w14:textId="77777777" w:rsidR="00CC3ED1" w:rsidRDefault="00CC3ED1" w:rsidP="00CC3ED1">
      <w:pPr>
        <w:bidi/>
        <w:spacing w:line="360" w:lineRule="auto"/>
        <w:rPr>
          <w:rFonts w:eastAsiaTheme="minorEastAsia"/>
          <w:b/>
          <w:bCs/>
          <w:sz w:val="24"/>
          <w:rtl/>
        </w:rPr>
      </w:pPr>
      <w:r w:rsidRPr="00CC3ED1">
        <w:rPr>
          <w:rFonts w:eastAsiaTheme="minorEastAsia" w:hint="cs"/>
          <w:b/>
          <w:bCs/>
          <w:sz w:val="24"/>
          <w:rtl/>
        </w:rPr>
        <w:t>דרישות הקורס</w:t>
      </w:r>
    </w:p>
    <w:p w14:paraId="1EAE796F" w14:textId="77777777" w:rsidR="00CC3ED1" w:rsidRPr="00CC3ED1" w:rsidRDefault="00CC3ED1" w:rsidP="00CC3ED1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70" w14:textId="7E6C710D" w:rsidR="00CC3ED1" w:rsidRPr="00CC3ED1" w:rsidRDefault="00CC3ED1" w:rsidP="00CC3ED1">
      <w:pPr>
        <w:numPr>
          <w:ilvl w:val="0"/>
          <w:numId w:val="4"/>
        </w:numPr>
        <w:bidi/>
        <w:spacing w:line="360" w:lineRule="auto"/>
        <w:rPr>
          <w:rFonts w:eastAsiaTheme="minorEastAsia"/>
          <w:sz w:val="24"/>
        </w:rPr>
      </w:pPr>
      <w:r w:rsidRPr="00CC3ED1">
        <w:rPr>
          <w:rFonts w:eastAsiaTheme="minorEastAsia" w:hint="cs"/>
          <w:sz w:val="24"/>
          <w:rtl/>
        </w:rPr>
        <w:t xml:space="preserve">תרגיל ביניים (עד 2 עמודים) </w:t>
      </w:r>
      <w:r w:rsidR="00EC083B">
        <w:rPr>
          <w:rFonts w:eastAsiaTheme="minorEastAsia"/>
          <w:sz w:val="24"/>
        </w:rPr>
        <w:t>…………..</w:t>
      </w:r>
      <w:r w:rsidRPr="00CC3ED1">
        <w:rPr>
          <w:rFonts w:eastAsiaTheme="minorEastAsia" w:hint="cs"/>
          <w:sz w:val="24"/>
          <w:rtl/>
        </w:rPr>
        <w:t>............................................................ 20%</w:t>
      </w:r>
    </w:p>
    <w:p w14:paraId="1EAE7971" w14:textId="0CCC3BF4" w:rsidR="000163D4" w:rsidRPr="00CC3ED1" w:rsidRDefault="00CC3ED1" w:rsidP="00CC3ED1">
      <w:pPr>
        <w:numPr>
          <w:ilvl w:val="0"/>
          <w:numId w:val="4"/>
        </w:numPr>
        <w:bidi/>
        <w:spacing w:line="360" w:lineRule="auto"/>
        <w:rPr>
          <w:rFonts w:eastAsiaTheme="minorEastAsia"/>
          <w:sz w:val="24"/>
          <w:rtl/>
        </w:rPr>
      </w:pPr>
      <w:r w:rsidRPr="00CC3ED1">
        <w:rPr>
          <w:rFonts w:eastAsiaTheme="minorEastAsia" w:hint="cs"/>
          <w:sz w:val="24"/>
          <w:rtl/>
        </w:rPr>
        <w:t>מבחן בית (עד 5 עמודים).......................</w:t>
      </w:r>
      <w:r w:rsidR="00F21190">
        <w:rPr>
          <w:rFonts w:eastAsiaTheme="minorEastAsia" w:hint="cs"/>
          <w:sz w:val="24"/>
          <w:rtl/>
        </w:rPr>
        <w:t>........................</w:t>
      </w:r>
      <w:r w:rsidRPr="00CC3ED1">
        <w:rPr>
          <w:rFonts w:eastAsiaTheme="minorEastAsia" w:hint="cs"/>
          <w:sz w:val="24"/>
          <w:rtl/>
        </w:rPr>
        <w:t>.........................</w:t>
      </w:r>
      <w:r w:rsidR="007424D7">
        <w:rPr>
          <w:rFonts w:eastAsiaTheme="minorEastAsia" w:hint="cs"/>
          <w:sz w:val="24"/>
          <w:rtl/>
        </w:rPr>
        <w:t>.</w:t>
      </w:r>
      <w:r w:rsidRPr="00CC3ED1">
        <w:rPr>
          <w:rFonts w:eastAsiaTheme="minorEastAsia" w:hint="cs"/>
          <w:sz w:val="24"/>
          <w:rtl/>
        </w:rPr>
        <w:t>..</w:t>
      </w:r>
      <w:r w:rsidR="00EC083B">
        <w:rPr>
          <w:rFonts w:eastAsiaTheme="minorEastAsia"/>
          <w:sz w:val="24"/>
        </w:rPr>
        <w:t>.</w:t>
      </w:r>
      <w:r w:rsidRPr="00CC3ED1">
        <w:rPr>
          <w:rFonts w:eastAsiaTheme="minorEastAsia" w:hint="cs"/>
          <w:sz w:val="24"/>
          <w:rtl/>
        </w:rPr>
        <w:t>.</w:t>
      </w:r>
      <w:r w:rsidR="0030221A">
        <w:rPr>
          <w:rFonts w:eastAsiaTheme="minorEastAsia" w:hint="cs"/>
          <w:sz w:val="24"/>
          <w:rtl/>
        </w:rPr>
        <w:t>.</w:t>
      </w:r>
      <w:r w:rsidRPr="00CC3ED1">
        <w:rPr>
          <w:rFonts w:eastAsiaTheme="minorEastAsia" w:hint="cs"/>
          <w:sz w:val="24"/>
          <w:rtl/>
        </w:rPr>
        <w:t>..80%</w:t>
      </w:r>
    </w:p>
    <w:p w14:paraId="1EAE7972" w14:textId="77777777" w:rsidR="000163D4" w:rsidRPr="000163D4" w:rsidRDefault="000163D4" w:rsidP="000163D4">
      <w:pPr>
        <w:bidi/>
        <w:spacing w:line="360" w:lineRule="auto"/>
        <w:rPr>
          <w:rFonts w:eastAsiaTheme="minorEastAsia"/>
          <w:sz w:val="24"/>
          <w:rtl/>
        </w:rPr>
      </w:pPr>
    </w:p>
    <w:p w14:paraId="1EAE7973" w14:textId="6FFB8E83" w:rsidR="00174A87" w:rsidRPr="00174A87" w:rsidRDefault="00174A87" w:rsidP="00174A87">
      <w:pPr>
        <w:bidi/>
        <w:spacing w:line="276" w:lineRule="auto"/>
        <w:rPr>
          <w:rFonts w:ascii="Calibri" w:eastAsia="Calibri" w:hAnsi="Calibri"/>
          <w:b/>
          <w:bCs/>
          <w:sz w:val="24"/>
          <w:rtl/>
        </w:rPr>
      </w:pPr>
      <w:r w:rsidRPr="00174A87">
        <w:rPr>
          <w:rFonts w:ascii="Calibri" w:eastAsia="Calibri" w:hAnsi="Calibri" w:hint="cs"/>
          <w:b/>
          <w:bCs/>
          <w:sz w:val="24"/>
          <w:rtl/>
        </w:rPr>
        <w:t xml:space="preserve">לאור החלטת וועדת הוראה </w:t>
      </w:r>
      <w:r w:rsidRPr="00174A87">
        <w:rPr>
          <w:rFonts w:ascii="Calibri" w:eastAsia="Calibri" w:hAnsi="Calibri"/>
          <w:b/>
          <w:bCs/>
          <w:sz w:val="24"/>
          <w:rtl/>
        </w:rPr>
        <w:t>–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העבודה הסופית (מבחן הבית) תוגש </w:t>
      </w:r>
      <w:r w:rsidRPr="009D562B">
        <w:rPr>
          <w:rFonts w:ascii="Calibri" w:eastAsia="Calibri" w:hAnsi="Calibri" w:hint="cs"/>
          <w:b/>
          <w:bCs/>
          <w:sz w:val="24"/>
          <w:rtl/>
        </w:rPr>
        <w:t>לא יאוחר מיום</w:t>
      </w:r>
      <w:r w:rsidR="009D562B">
        <w:rPr>
          <w:rFonts w:ascii="Calibri" w:eastAsia="Calibri" w:hAnsi="Calibri" w:hint="cs"/>
          <w:b/>
          <w:bCs/>
          <w:sz w:val="24"/>
          <w:rtl/>
        </w:rPr>
        <w:t xml:space="preserve"> 5/9/</w:t>
      </w:r>
      <w:r w:rsidR="0030221A">
        <w:rPr>
          <w:rFonts w:ascii="Calibri" w:eastAsia="Calibri" w:hAnsi="Calibri" w:hint="cs"/>
          <w:b/>
          <w:bCs/>
          <w:sz w:val="24"/>
          <w:rtl/>
        </w:rPr>
        <w:t>20</w:t>
      </w:r>
      <w:r w:rsidR="009D562B">
        <w:rPr>
          <w:rFonts w:ascii="Calibri" w:eastAsia="Calibri" w:hAnsi="Calibri" w:hint="cs"/>
          <w:b/>
          <w:bCs/>
          <w:sz w:val="24"/>
          <w:rtl/>
        </w:rPr>
        <w:t>.</w:t>
      </w:r>
      <w:r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 xml:space="preserve">במקרים חריגים במיוחד, הארכה מעבר לשבוע </w:t>
      </w:r>
      <w:r w:rsidRPr="00174A87">
        <w:rPr>
          <w:rFonts w:ascii="Calibri" w:eastAsia="Calibri" w:hAnsi="Calibri" w:hint="cs"/>
          <w:b/>
          <w:bCs/>
          <w:sz w:val="24"/>
          <w:rtl/>
        </w:rPr>
        <w:t>תאושר</w:t>
      </w:r>
      <w:r w:rsidRPr="00174A87">
        <w:rPr>
          <w:rFonts w:ascii="Calibri" w:eastAsia="Calibri" w:hAnsi="Calibri"/>
          <w:b/>
          <w:bCs/>
          <w:sz w:val="24"/>
          <w:rtl/>
        </w:rPr>
        <w:t xml:space="preserve"> רק ע"י וועדת ההוראה 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ויש להגיש לשם כך טופס אותו ניתן לקבל במזכירות התכנית. </w:t>
      </w:r>
    </w:p>
    <w:p w14:paraId="1EAE7974" w14:textId="77777777" w:rsidR="00174A87" w:rsidRPr="00174A87" w:rsidRDefault="00174A87" w:rsidP="00174A87">
      <w:pPr>
        <w:bidi/>
        <w:spacing w:line="276" w:lineRule="auto"/>
        <w:rPr>
          <w:rFonts w:ascii="Calibri" w:eastAsia="Calibri" w:hAnsi="Calibri"/>
          <w:b/>
          <w:bCs/>
          <w:sz w:val="24"/>
          <w:rtl/>
        </w:rPr>
      </w:pPr>
      <w:r w:rsidRPr="00174A87">
        <w:rPr>
          <w:rFonts w:ascii="Calibri" w:eastAsia="Calibri" w:hAnsi="Calibri"/>
          <w:b/>
          <w:bCs/>
          <w:sz w:val="24"/>
          <w:rtl/>
        </w:rPr>
        <w:t>על פי נהלי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>האוניברסיטה אין אפשרות לתקן עבודות לשם שיפור ציון, אולם לסטודנט</w:t>
      </w:r>
      <w:r w:rsidRPr="00174A87">
        <w:rPr>
          <w:rFonts w:ascii="Calibri" w:eastAsia="Calibri" w:hAnsi="Calibri" w:hint="cs"/>
          <w:b/>
          <w:bCs/>
          <w:sz w:val="24"/>
          <w:rtl/>
        </w:rPr>
        <w:t>/ית</w:t>
      </w:r>
      <w:r w:rsidRPr="00174A87">
        <w:rPr>
          <w:rFonts w:ascii="Calibri" w:eastAsia="Calibri" w:hAnsi="Calibri"/>
          <w:b/>
          <w:bCs/>
          <w:sz w:val="24"/>
          <w:rtl/>
        </w:rPr>
        <w:t> מותר לערער על הציון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>שניתן ל</w:t>
      </w:r>
      <w:r w:rsidRPr="00174A87">
        <w:rPr>
          <w:rFonts w:ascii="Calibri" w:eastAsia="Calibri" w:hAnsi="Calibri" w:hint="cs"/>
          <w:b/>
          <w:bCs/>
          <w:sz w:val="24"/>
          <w:rtl/>
        </w:rPr>
        <w:t>ה</w:t>
      </w:r>
      <w:r w:rsidRPr="00174A87">
        <w:rPr>
          <w:rFonts w:ascii="Calibri" w:eastAsia="Calibri" w:hAnsi="Calibri"/>
          <w:b/>
          <w:bCs/>
          <w:sz w:val="24"/>
          <w:rtl/>
        </w:rPr>
        <w:t>. סטודנטי</w:t>
      </w:r>
      <w:r>
        <w:rPr>
          <w:rFonts w:ascii="Calibri" w:eastAsia="Calibri" w:hAnsi="Calibri" w:hint="cs"/>
          <w:b/>
          <w:bCs/>
          <w:sz w:val="24"/>
          <w:rtl/>
        </w:rPr>
        <w:t>ות/י</w:t>
      </w:r>
      <w:r w:rsidRPr="00174A87">
        <w:rPr>
          <w:rFonts w:ascii="Calibri" w:eastAsia="Calibri" w:hAnsi="Calibri"/>
          <w:b/>
          <w:bCs/>
          <w:sz w:val="24"/>
          <w:rtl/>
        </w:rPr>
        <w:t>ם שיבקשו לערער על הציון</w:t>
      </w:r>
      <w:r w:rsidRPr="00174A87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174A87">
        <w:rPr>
          <w:rFonts w:ascii="Calibri" w:eastAsia="Calibri" w:hAnsi="Calibri"/>
          <w:b/>
          <w:bCs/>
          <w:sz w:val="24"/>
          <w:rtl/>
        </w:rPr>
        <w:t>יפנו לוועדת ההוראה בבקשה לערעור ע"ג הטופס המיועד לכך.</w:t>
      </w:r>
    </w:p>
    <w:p w14:paraId="1EAE7975" w14:textId="77777777" w:rsidR="000163D4" w:rsidRPr="000163D4" w:rsidRDefault="000163D4" w:rsidP="000163D4">
      <w:pPr>
        <w:bidi/>
        <w:spacing w:line="360" w:lineRule="auto"/>
        <w:rPr>
          <w:rFonts w:eastAsiaTheme="minorEastAsia"/>
          <w:sz w:val="24"/>
          <w:rtl/>
        </w:rPr>
      </w:pPr>
    </w:p>
    <w:p w14:paraId="1EAE7976" w14:textId="77777777" w:rsidR="000163D4" w:rsidRPr="000163D4" w:rsidRDefault="000163D4" w:rsidP="000163D4">
      <w:pPr>
        <w:bidi/>
        <w:spacing w:line="360" w:lineRule="auto"/>
        <w:rPr>
          <w:rFonts w:eastAsiaTheme="minorEastAsia"/>
          <w:sz w:val="24"/>
          <w:rtl/>
        </w:rPr>
      </w:pPr>
    </w:p>
    <w:p w14:paraId="1EAE7977" w14:textId="77777777" w:rsidR="00174A87" w:rsidRDefault="00174A87" w:rsidP="00174A87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78" w14:textId="77777777" w:rsidR="00645A5B" w:rsidRDefault="00645A5B" w:rsidP="00174A87">
      <w:pPr>
        <w:bidi/>
        <w:spacing w:line="360" w:lineRule="auto"/>
        <w:jc w:val="center"/>
        <w:rPr>
          <w:rFonts w:eastAsiaTheme="minorEastAsia"/>
          <w:b/>
          <w:bCs/>
          <w:sz w:val="24"/>
          <w:rtl/>
        </w:rPr>
      </w:pPr>
    </w:p>
    <w:p w14:paraId="1EAE7979" w14:textId="77777777" w:rsidR="00C72E4E" w:rsidRDefault="00C72E4E" w:rsidP="00C72E4E">
      <w:pPr>
        <w:bidi/>
        <w:spacing w:line="360" w:lineRule="auto"/>
        <w:jc w:val="center"/>
        <w:rPr>
          <w:rFonts w:eastAsiaTheme="minorEastAsia"/>
          <w:b/>
          <w:bCs/>
          <w:sz w:val="24"/>
          <w:rtl/>
        </w:rPr>
      </w:pPr>
    </w:p>
    <w:p w14:paraId="1EAE797B" w14:textId="77777777" w:rsidR="000163D4" w:rsidRPr="000163D4" w:rsidRDefault="000163D4" w:rsidP="006C4541">
      <w:pPr>
        <w:bidi/>
        <w:spacing w:line="360" w:lineRule="auto"/>
        <w:jc w:val="center"/>
        <w:rPr>
          <w:rFonts w:eastAsiaTheme="minorEastAsia"/>
          <w:b/>
          <w:bCs/>
          <w:sz w:val="24"/>
          <w:rtl/>
        </w:rPr>
      </w:pPr>
      <w:r w:rsidRPr="000163D4">
        <w:rPr>
          <w:rFonts w:eastAsiaTheme="minorEastAsia" w:hint="cs"/>
          <w:b/>
          <w:bCs/>
          <w:sz w:val="24"/>
          <w:rtl/>
        </w:rPr>
        <w:lastRenderedPageBreak/>
        <w:t>תכנית הקורס</w:t>
      </w:r>
    </w:p>
    <w:p w14:paraId="1EAE797C" w14:textId="77777777" w:rsidR="006D0CB3" w:rsidRPr="006D0CB3" w:rsidRDefault="006D0CB3" w:rsidP="000A2C68">
      <w:pPr>
        <w:bidi/>
        <w:rPr>
          <w:rFonts w:ascii="David" w:eastAsiaTheme="minorEastAsia" w:hAnsi="David"/>
          <w:b/>
          <w:bCs/>
          <w:sz w:val="24"/>
          <w:rtl/>
          <w:lang w:val="en-GB"/>
        </w:rPr>
      </w:pPr>
    </w:p>
    <w:p w14:paraId="1EAE797D" w14:textId="77777777" w:rsidR="006D0CB3" w:rsidRDefault="006D0CB3" w:rsidP="006D0CB3">
      <w:pPr>
        <w:bidi/>
        <w:rPr>
          <w:rFonts w:asciiTheme="majorBidi" w:eastAsiaTheme="minorEastAsia" w:hAnsiTheme="majorBidi" w:cstheme="majorBidi"/>
          <w:b/>
          <w:bCs/>
          <w:sz w:val="24"/>
          <w:rtl/>
          <w:lang w:val="en-GB"/>
        </w:rPr>
      </w:pPr>
    </w:p>
    <w:p w14:paraId="1EAE797E" w14:textId="77777777" w:rsidR="006D0CB3" w:rsidRPr="006D0CB3" w:rsidRDefault="006D0CB3" w:rsidP="006D0CB3">
      <w:pPr>
        <w:bidi/>
        <w:rPr>
          <w:rFonts w:asciiTheme="majorBidi" w:eastAsiaTheme="minorEastAsia" w:hAnsiTheme="majorBidi" w:cstheme="majorBidi"/>
          <w:b/>
          <w:bCs/>
          <w:sz w:val="24"/>
          <w:lang w:val="en-GB"/>
        </w:rPr>
      </w:pPr>
    </w:p>
    <w:p w14:paraId="34740269" w14:textId="77777777" w:rsidR="00514A73" w:rsidRDefault="00514A73" w:rsidP="006D0CB3">
      <w:pPr>
        <w:bidi/>
        <w:rPr>
          <w:rFonts w:eastAsiaTheme="minorEastAsia"/>
          <w:b/>
          <w:bCs/>
          <w:sz w:val="24"/>
          <w:rtl/>
        </w:rPr>
      </w:pPr>
      <w:r>
        <w:rPr>
          <w:rFonts w:eastAsiaTheme="minorEastAsia" w:hint="cs"/>
          <w:b/>
          <w:bCs/>
          <w:sz w:val="24"/>
          <w:rtl/>
        </w:rPr>
        <w:t>16.3.2020</w:t>
      </w:r>
    </w:p>
    <w:p w14:paraId="1EAE7980" w14:textId="254A74EA" w:rsidR="000163D4" w:rsidRDefault="002E48EC" w:rsidP="00514A73">
      <w:pPr>
        <w:bidi/>
        <w:rPr>
          <w:rFonts w:eastAsiaTheme="minorEastAsia"/>
          <w:b/>
          <w:bCs/>
          <w:sz w:val="24"/>
          <w:rtl/>
        </w:rPr>
      </w:pPr>
      <w:r w:rsidRPr="002E48EC">
        <w:rPr>
          <w:rFonts w:eastAsiaTheme="minorEastAsia" w:hint="cs"/>
          <w:b/>
          <w:bCs/>
          <w:sz w:val="24"/>
          <w:rtl/>
        </w:rPr>
        <w:t>פמיניזם ודת: מבוא</w:t>
      </w:r>
    </w:p>
    <w:p w14:paraId="1EAE7981" w14:textId="77777777" w:rsidR="00140800" w:rsidRDefault="00140800" w:rsidP="00140800">
      <w:pPr>
        <w:bidi/>
        <w:rPr>
          <w:rFonts w:eastAsiaTheme="minorEastAsia"/>
          <w:sz w:val="24"/>
          <w:rtl/>
        </w:rPr>
      </w:pPr>
    </w:p>
    <w:p w14:paraId="1EAE7983" w14:textId="77777777" w:rsidR="000420D2" w:rsidRPr="000420D2" w:rsidRDefault="000420D2" w:rsidP="000420D2">
      <w:pPr>
        <w:pStyle w:val="ListParagraph"/>
        <w:numPr>
          <w:ilvl w:val="0"/>
          <w:numId w:val="10"/>
        </w:numPr>
        <w:bidi/>
        <w:rPr>
          <w:rFonts w:eastAsiaTheme="minorEastAsia"/>
          <w:sz w:val="24"/>
          <w:rtl/>
        </w:rPr>
      </w:pPr>
      <w:r>
        <w:rPr>
          <w:rFonts w:eastAsiaTheme="minorEastAsia" w:hint="cs"/>
          <w:sz w:val="24"/>
          <w:rtl/>
        </w:rPr>
        <w:t xml:space="preserve">לימוד מקורות </w:t>
      </w:r>
      <w:r>
        <w:rPr>
          <w:rFonts w:eastAsiaTheme="minorEastAsia"/>
          <w:sz w:val="24"/>
          <w:rtl/>
        </w:rPr>
        <w:t>–</w:t>
      </w:r>
      <w:r>
        <w:rPr>
          <w:rFonts w:eastAsiaTheme="minorEastAsia" w:hint="cs"/>
          <w:sz w:val="24"/>
          <w:rtl/>
        </w:rPr>
        <w:t xml:space="preserve"> האם האשה נבראה בצלם אלוהים?</w:t>
      </w:r>
    </w:p>
    <w:p w14:paraId="1EAE7984" w14:textId="77777777" w:rsidR="000F7A72" w:rsidRDefault="000F7A72" w:rsidP="000F7A72">
      <w:pPr>
        <w:bidi/>
        <w:rPr>
          <w:rFonts w:eastAsiaTheme="minorEastAsia"/>
          <w:b/>
          <w:bCs/>
          <w:sz w:val="24"/>
          <w:rtl/>
        </w:rPr>
      </w:pPr>
    </w:p>
    <w:p w14:paraId="1EAE7985" w14:textId="77777777" w:rsidR="002E48EC" w:rsidRDefault="002E48EC" w:rsidP="002E48EC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7DFABAE8" w14:textId="77777777" w:rsidR="00673EFC" w:rsidRDefault="00673EFC" w:rsidP="00514A73">
      <w:pPr>
        <w:bidi/>
        <w:rPr>
          <w:rFonts w:eastAsiaTheme="minorEastAsia"/>
          <w:b/>
          <w:bCs/>
          <w:sz w:val="24"/>
          <w:rtl/>
        </w:rPr>
      </w:pPr>
      <w:r>
        <w:rPr>
          <w:rFonts w:eastAsiaTheme="minorEastAsia" w:hint="cs"/>
          <w:b/>
          <w:bCs/>
          <w:sz w:val="24"/>
          <w:rtl/>
        </w:rPr>
        <w:t>23.3.20</w:t>
      </w:r>
    </w:p>
    <w:p w14:paraId="1EAE7987" w14:textId="58A2F0BF" w:rsidR="006C77AF" w:rsidRDefault="006C77AF" w:rsidP="00673EFC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פמיניזם נוצרי ויסודות הביקורת על הדתות המונותיאיסטיות</w:t>
      </w:r>
    </w:p>
    <w:p w14:paraId="1EAE7988" w14:textId="77777777" w:rsidR="006C77AF" w:rsidRPr="00FF4B24" w:rsidRDefault="006C77AF" w:rsidP="006C77AF">
      <w:pPr>
        <w:rPr>
          <w:rFonts w:ascii="Times New Roman" w:eastAsia="Times New Roman" w:hAnsi="Times New Roman" w:cs="Times New Roman"/>
          <w:sz w:val="24"/>
          <w:rtl/>
        </w:rPr>
      </w:pPr>
    </w:p>
    <w:p w14:paraId="1EAE7989" w14:textId="77777777" w:rsidR="003F1F1A" w:rsidRPr="00C72E4E" w:rsidRDefault="006C77AF" w:rsidP="00C72E4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C72E4E">
        <w:rPr>
          <w:rFonts w:ascii="Times New Roman" w:eastAsia="Times New Roman" w:hAnsi="Times New Roman" w:cs="Times New Roman"/>
          <w:sz w:val="24"/>
        </w:rPr>
        <w:t xml:space="preserve">Daphne Hampson, </w:t>
      </w:r>
      <w:r w:rsidRPr="00C72E4E">
        <w:rPr>
          <w:rFonts w:ascii="Times New Roman" w:eastAsia="Times New Roman" w:hAnsi="Times New Roman" w:cs="Times New Roman"/>
          <w:i/>
          <w:iCs/>
          <w:sz w:val="24"/>
        </w:rPr>
        <w:t>After Christianity</w:t>
      </w:r>
      <w:r w:rsidRPr="00C72E4E">
        <w:rPr>
          <w:rFonts w:ascii="Times New Roman" w:eastAsia="Times New Roman" w:hAnsi="Times New Roman" w:cs="Times New Roman"/>
          <w:sz w:val="24"/>
        </w:rPr>
        <w:t xml:space="preserve"> (London: SCM Press, 2002), pp. 119-168.</w:t>
      </w:r>
    </w:p>
    <w:p w14:paraId="1EAE798A" w14:textId="77777777" w:rsidR="006C77AF" w:rsidRPr="00BC0B62" w:rsidRDefault="006C77AF" w:rsidP="006C77AF">
      <w:pPr>
        <w:bidi/>
        <w:spacing w:line="360" w:lineRule="auto"/>
        <w:rPr>
          <w:rFonts w:ascii="David" w:eastAsiaTheme="minorEastAsia" w:hAnsi="David"/>
          <w:b/>
          <w:bCs/>
          <w:sz w:val="24"/>
          <w:rtl/>
        </w:rPr>
      </w:pPr>
    </w:p>
    <w:p w14:paraId="29376139" w14:textId="77777777" w:rsidR="00B22210" w:rsidRDefault="00B22210" w:rsidP="00C72E4E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30.3.2020</w:t>
      </w:r>
    </w:p>
    <w:p w14:paraId="1EAE798C" w14:textId="31627536" w:rsidR="00C72E4E" w:rsidRPr="00831EFB" w:rsidRDefault="00C72E4E" w:rsidP="00B22210">
      <w:pPr>
        <w:bidi/>
        <w:rPr>
          <w:rFonts w:ascii="Calibri" w:eastAsia="Times New Roman" w:hAnsi="Calibri"/>
          <w:b/>
          <w:bCs/>
          <w:sz w:val="24"/>
          <w:rtl/>
        </w:rPr>
      </w:pPr>
      <w:r w:rsidRPr="00831EFB">
        <w:rPr>
          <w:rFonts w:ascii="Calibri" w:eastAsia="Times New Roman" w:hAnsi="Calibri" w:hint="cs"/>
          <w:b/>
          <w:bCs/>
          <w:sz w:val="24"/>
          <w:rtl/>
        </w:rPr>
        <w:t>פמיניזם ויהדות – נקודות התנגשות;</w:t>
      </w:r>
    </w:p>
    <w:p w14:paraId="1EAE798D" w14:textId="77777777" w:rsidR="00C72E4E" w:rsidRPr="00831EFB" w:rsidRDefault="00C72E4E" w:rsidP="00C72E4E">
      <w:pPr>
        <w:bidi/>
        <w:rPr>
          <w:rFonts w:ascii="Calibri" w:eastAsia="Times New Roman" w:hAnsi="Calibri"/>
          <w:b/>
          <w:bCs/>
          <w:sz w:val="24"/>
          <w:rtl/>
        </w:rPr>
      </w:pPr>
      <w:r w:rsidRPr="00831EFB">
        <w:rPr>
          <w:rFonts w:ascii="Calibri" w:eastAsia="Times New Roman" w:hAnsi="Calibri" w:hint="cs"/>
          <w:b/>
          <w:bCs/>
          <w:sz w:val="24"/>
          <w:rtl/>
        </w:rPr>
        <w:t>תיאולוגיית העקידה</w:t>
      </w:r>
    </w:p>
    <w:p w14:paraId="1EAE798E" w14:textId="77777777" w:rsidR="00C72E4E" w:rsidRPr="00831EFB" w:rsidRDefault="00C72E4E" w:rsidP="00C72E4E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8F" w14:textId="77777777" w:rsidR="00C72E4E" w:rsidRPr="00831EFB" w:rsidRDefault="00C72E4E" w:rsidP="00C72E4E">
      <w:pPr>
        <w:jc w:val="left"/>
        <w:rPr>
          <w:rFonts w:ascii="Times New Roman" w:eastAsia="Times New Roman" w:hAnsi="Times New Roman" w:cs="Times New Roman"/>
          <w:sz w:val="24"/>
          <w:rtl/>
        </w:rPr>
      </w:pPr>
    </w:p>
    <w:p w14:paraId="1EAE7990" w14:textId="77777777" w:rsidR="00C72E4E" w:rsidRPr="00C72E4E" w:rsidRDefault="00C72E4E" w:rsidP="00C72E4E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C72E4E">
        <w:rPr>
          <w:rFonts w:ascii="Times New Roman" w:eastAsia="Times New Roman" w:hAnsi="Times New Roman" w:cs="Times New Roman"/>
          <w:sz w:val="24"/>
        </w:rPr>
        <w:t xml:space="preserve">Rachel Adler, “The Jew Who Wasn’t There: Halakha and the Jewish Woman”, in: Suzana Heschel (ed.), </w:t>
      </w:r>
      <w:r w:rsidRPr="00C72E4E">
        <w:rPr>
          <w:rFonts w:ascii="Times New Roman" w:eastAsia="Times New Roman" w:hAnsi="Times New Roman" w:cs="Times New Roman"/>
          <w:i/>
          <w:iCs/>
          <w:sz w:val="24"/>
        </w:rPr>
        <w:t>On Being a Jewish Feminist; A Reader</w:t>
      </w:r>
      <w:r w:rsidRPr="00C72E4E">
        <w:rPr>
          <w:rFonts w:ascii="Times New Roman" w:eastAsia="Times New Roman" w:hAnsi="Times New Roman" w:cs="Times New Roman"/>
          <w:sz w:val="24"/>
        </w:rPr>
        <w:t xml:space="preserve"> (New York: Schocken Books, 1983), pp. 12-18.</w:t>
      </w:r>
    </w:p>
    <w:p w14:paraId="1EAE7991" w14:textId="77777777" w:rsidR="00C72E4E" w:rsidRDefault="00C72E4E" w:rsidP="00C72E4E">
      <w:pPr>
        <w:numPr>
          <w:ilvl w:val="0"/>
          <w:numId w:val="10"/>
        </w:num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</w:rPr>
      </w:pPr>
      <w:r w:rsidRPr="00831EFB">
        <w:rPr>
          <w:rFonts w:ascii="Times New Roman" w:eastAsia="Times New Roman" w:hAnsi="Times New Roman" w:hint="cs"/>
          <w:sz w:val="24"/>
          <w:rtl/>
        </w:rPr>
        <w:t xml:space="preserve">תמר רוס, "הפמיניזם והמסורת ההלכתית", בתוך: </w:t>
      </w:r>
      <w:r w:rsidRPr="00831EFB">
        <w:rPr>
          <w:rFonts w:ascii="Times New Roman" w:eastAsia="Times New Roman" w:hAnsi="Times New Roman" w:hint="cs"/>
          <w:i/>
          <w:iCs/>
          <w:sz w:val="24"/>
          <w:rtl/>
        </w:rPr>
        <w:t xml:space="preserve">ארמון התורה ממעל לה </w:t>
      </w:r>
      <w:r w:rsidRPr="00831EFB">
        <w:rPr>
          <w:rFonts w:ascii="Times New Roman" w:eastAsia="Times New Roman" w:hAnsi="Times New Roman"/>
          <w:i/>
          <w:iCs/>
          <w:sz w:val="24"/>
          <w:rtl/>
        </w:rPr>
        <w:t>–</w:t>
      </w:r>
      <w:r w:rsidRPr="00831EFB">
        <w:rPr>
          <w:rFonts w:ascii="Times New Roman" w:eastAsia="Times New Roman" w:hAnsi="Times New Roman" w:hint="cs"/>
          <w:i/>
          <w:iCs/>
          <w:sz w:val="24"/>
          <w:rtl/>
        </w:rPr>
        <w:t xml:space="preserve"> על אורתודוקסיה ופמיניזם</w:t>
      </w:r>
      <w:r w:rsidRPr="00831EFB">
        <w:rPr>
          <w:rFonts w:ascii="Times New Roman" w:eastAsia="Times New Roman" w:hAnsi="Times New Roman" w:hint="cs"/>
          <w:sz w:val="24"/>
          <w:rtl/>
        </w:rPr>
        <w:t>, תל אביב: עלמא, עם עובד, 2007, עמ' 31-70.</w:t>
      </w:r>
    </w:p>
    <w:p w14:paraId="1EAE7992" w14:textId="77777777" w:rsidR="000163D4" w:rsidRDefault="000163D4" w:rsidP="000163D4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93" w14:textId="77777777" w:rsidR="00CB3B58" w:rsidRPr="000163D4" w:rsidRDefault="00CB3B58" w:rsidP="00CB3B58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95" w14:textId="5F1F2E4A" w:rsidR="00C72E4E" w:rsidRDefault="00B22210" w:rsidP="00C72E4E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20.4.2020</w:t>
      </w:r>
    </w:p>
    <w:p w14:paraId="1EAE7996" w14:textId="066D8D10" w:rsidR="00226C37" w:rsidRDefault="00C72E4E" w:rsidP="00F64D51">
      <w:pPr>
        <w:bidi/>
        <w:rPr>
          <w:rFonts w:ascii="Calibri" w:eastAsia="Times New Roman" w:hAnsi="Calibri"/>
          <w:b/>
          <w:bCs/>
          <w:sz w:val="24"/>
          <w:rtl/>
        </w:rPr>
      </w:pPr>
      <w:r w:rsidRPr="00C72E4E">
        <w:rPr>
          <w:rFonts w:ascii="Calibri" w:eastAsia="Times New Roman" w:hAnsi="Calibri" w:hint="cs"/>
          <w:b/>
          <w:bCs/>
          <w:sz w:val="24"/>
          <w:rtl/>
        </w:rPr>
        <w:t>פמיניזם</w:t>
      </w:r>
      <w:r w:rsidR="00226C37">
        <w:rPr>
          <w:rFonts w:ascii="Calibri" w:eastAsia="Times New Roman" w:hAnsi="Calibri"/>
          <w:b/>
          <w:bCs/>
          <w:sz w:val="24"/>
          <w:lang w:val="en-GB"/>
        </w:rPr>
        <w:t xml:space="preserve"> </w:t>
      </w:r>
      <w:r w:rsidR="00226C37">
        <w:rPr>
          <w:rFonts w:ascii="Calibri" w:eastAsia="Times New Roman" w:hAnsi="Calibri" w:hint="cs"/>
          <w:b/>
          <w:bCs/>
          <w:sz w:val="24"/>
          <w:rtl/>
          <w:lang w:val="en-GB"/>
        </w:rPr>
        <w:t>מוסלמי/</w:t>
      </w:r>
      <w:r w:rsidRPr="00C72E4E">
        <w:rPr>
          <w:rFonts w:ascii="Calibri" w:eastAsia="Times New Roman" w:hAnsi="Calibri" w:hint="cs"/>
          <w:b/>
          <w:bCs/>
          <w:sz w:val="24"/>
          <w:rtl/>
        </w:rPr>
        <w:t>איסלאמי</w:t>
      </w:r>
    </w:p>
    <w:p w14:paraId="1EAE7997" w14:textId="3335270E" w:rsidR="00C72E4E" w:rsidRDefault="00226C37" w:rsidP="00F64D51">
      <w:pPr>
        <w:bidi/>
        <w:rPr>
          <w:rFonts w:ascii="Calibri" w:eastAsia="Times New Roman" w:hAnsi="Calibri"/>
          <w:b/>
          <w:bCs/>
          <w:sz w:val="24"/>
          <w:rtl/>
        </w:rPr>
      </w:pPr>
      <w:r w:rsidRPr="00F64D51">
        <w:rPr>
          <w:rFonts w:ascii="Calibri" w:eastAsia="Times New Roman" w:hAnsi="Calibri" w:hint="cs"/>
          <w:b/>
          <w:bCs/>
          <w:sz w:val="24"/>
          <w:rtl/>
        </w:rPr>
        <w:t xml:space="preserve">מרצה אורחת: </w:t>
      </w:r>
      <w:r w:rsidR="00F64D51">
        <w:rPr>
          <w:rFonts w:ascii="Calibri" w:eastAsia="Times New Roman" w:hAnsi="Calibri" w:hint="cs"/>
          <w:b/>
          <w:bCs/>
          <w:sz w:val="24"/>
          <w:rtl/>
        </w:rPr>
        <w:t>נאהד אשקאר שרארי</w:t>
      </w:r>
    </w:p>
    <w:p w14:paraId="19280E1E" w14:textId="77777777" w:rsidR="005737AA" w:rsidRDefault="005737AA" w:rsidP="005737AA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98" w14:textId="77777777" w:rsidR="00C72E4E" w:rsidRPr="00C72E4E" w:rsidRDefault="00C72E4E" w:rsidP="00C72E4E">
      <w:pPr>
        <w:pStyle w:val="ListParagraph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rtl/>
        </w:rPr>
      </w:pPr>
      <w:r w:rsidRPr="00C72E4E">
        <w:rPr>
          <w:rFonts w:asciiTheme="majorBidi" w:eastAsia="Times New Roman" w:hAnsiTheme="majorBidi" w:cstheme="majorBidi"/>
          <w:sz w:val="24"/>
        </w:rPr>
        <w:t>Badran Margot, Islamic Feminism – What's in a name", in: Feminism in Islam: Secular and Religious Convergence (Oneworld Publications, 2009): 242-252.</w:t>
      </w:r>
    </w:p>
    <w:p w14:paraId="1EAE7999" w14:textId="77777777" w:rsidR="00C72E4E" w:rsidRPr="00831EFB" w:rsidRDefault="00C72E4E" w:rsidP="00C72E4E">
      <w:pPr>
        <w:bidi/>
        <w:spacing w:after="200" w:line="276" w:lineRule="auto"/>
        <w:contextualSpacing/>
        <w:jc w:val="left"/>
        <w:rPr>
          <w:rFonts w:ascii="Times New Roman" w:eastAsia="Times New Roman" w:hAnsi="Times New Roman"/>
          <w:sz w:val="24"/>
        </w:rPr>
      </w:pPr>
    </w:p>
    <w:p w14:paraId="1EAE799A" w14:textId="77777777" w:rsidR="00831EFB" w:rsidRDefault="00831EFB" w:rsidP="00831EFB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6DA81983" w14:textId="77777777" w:rsidR="00672510" w:rsidRDefault="00672510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27.4.2020</w:t>
      </w:r>
    </w:p>
    <w:p w14:paraId="1EAE799D" w14:textId="1BFDAB7A" w:rsidR="003F6CE9" w:rsidRPr="00FF4B24" w:rsidRDefault="003F6CE9" w:rsidP="00672510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תגובות פנים דתיות לביקורת הפמיניסטית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 ושאלת המהותנות</w:t>
      </w:r>
    </w:p>
    <w:p w14:paraId="1EAE799E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9F" w14:textId="77777777" w:rsidR="003F6CE9" w:rsidRPr="003F6CE9" w:rsidRDefault="003F6CE9" w:rsidP="003F6CE9">
      <w:pPr>
        <w:pStyle w:val="ListParagraph"/>
        <w:numPr>
          <w:ilvl w:val="0"/>
          <w:numId w:val="10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3F6CE9">
        <w:rPr>
          <w:rFonts w:ascii="Times New Roman" w:eastAsia="Times New Roman" w:hAnsi="Times New Roman" w:cs="Times New Roman"/>
          <w:sz w:val="24"/>
        </w:rPr>
        <w:t xml:space="preserve">Aaron Soloveitchik, “The Torah’s View of the Role of the Woman”, in: </w:t>
      </w:r>
      <w:r w:rsidRPr="003F6CE9">
        <w:rPr>
          <w:rFonts w:ascii="Times New Roman" w:eastAsia="Times New Roman" w:hAnsi="Times New Roman" w:cs="Times New Roman"/>
          <w:i/>
          <w:iCs/>
          <w:sz w:val="24"/>
        </w:rPr>
        <w:t>Logic of the Heart Logic of the Mind: Wisdom and Reflections on Topics of our Times,</w:t>
      </w:r>
      <w:r w:rsidRPr="003F6CE9">
        <w:rPr>
          <w:rFonts w:ascii="Times New Roman" w:eastAsia="Times New Roman" w:hAnsi="Times New Roman" w:cs="Times New Roman"/>
          <w:sz w:val="24"/>
        </w:rPr>
        <w:t xml:space="preserve"> Genesis Jerusalem Press, 1991, pp. 92-97.    </w:t>
      </w:r>
    </w:p>
    <w:p w14:paraId="1EAE79A0" w14:textId="77777777" w:rsidR="003F6CE9" w:rsidRPr="000613A9" w:rsidRDefault="003F6CE9" w:rsidP="003F6CE9">
      <w:pPr>
        <w:numPr>
          <w:ilvl w:val="0"/>
          <w:numId w:val="10"/>
        </w:numPr>
        <w:bidi/>
        <w:spacing w:after="200" w:line="276" w:lineRule="auto"/>
        <w:contextualSpacing/>
        <w:jc w:val="left"/>
        <w:rPr>
          <w:rFonts w:ascii="Calibri" w:eastAsia="Times New Roman" w:hAnsi="Calibri"/>
          <w:sz w:val="24"/>
          <w:rtl/>
        </w:rPr>
      </w:pPr>
      <w:r w:rsidRPr="00FF4B24">
        <w:rPr>
          <w:rFonts w:ascii="Calibri" w:eastAsia="Times New Roman" w:hAnsi="Calibri" w:hint="cs"/>
          <w:sz w:val="24"/>
          <w:rtl/>
        </w:rPr>
        <w:t xml:space="preserve">ארי שבט, "פמיניזם אורתודוכסי = אגואיזם דתי", </w:t>
      </w:r>
      <w:r w:rsidRPr="00EA68E6">
        <w:rPr>
          <w:rFonts w:ascii="Calibri" w:eastAsia="Times New Roman" w:hAnsi="Calibri" w:hint="cs"/>
          <w:i/>
          <w:iCs/>
          <w:sz w:val="24"/>
          <w:rtl/>
        </w:rPr>
        <w:t>צהר</w:t>
      </w:r>
      <w:r w:rsidRPr="00FF4B24">
        <w:rPr>
          <w:rFonts w:ascii="Calibri" w:eastAsia="Times New Roman" w:hAnsi="Calibri" w:hint="cs"/>
          <w:sz w:val="24"/>
          <w:rtl/>
        </w:rPr>
        <w:t xml:space="preserve"> יג (תשס"ג), עמ' 162-153.</w:t>
      </w:r>
    </w:p>
    <w:p w14:paraId="1EAE79A1" w14:textId="77777777" w:rsidR="003F6CE9" w:rsidRPr="00FF4B24" w:rsidRDefault="003F6CE9" w:rsidP="003F6CE9">
      <w:pPr>
        <w:numPr>
          <w:ilvl w:val="0"/>
          <w:numId w:val="10"/>
        </w:numPr>
        <w:bidi/>
        <w:spacing w:after="200" w:line="276" w:lineRule="auto"/>
        <w:contextualSpacing/>
        <w:jc w:val="left"/>
        <w:rPr>
          <w:rFonts w:ascii="Calibri" w:eastAsia="Times New Roman" w:hAnsi="Calibri"/>
          <w:sz w:val="24"/>
        </w:rPr>
      </w:pPr>
      <w:r>
        <w:rPr>
          <w:rFonts w:ascii="Calibri" w:eastAsia="Times New Roman" w:hAnsi="Calibri" w:hint="cs"/>
          <w:sz w:val="24"/>
          <w:rtl/>
          <w:lang w:val="en-GB"/>
        </w:rPr>
        <w:t xml:space="preserve">לימוד מדרשי נשים </w:t>
      </w:r>
      <w:r>
        <w:rPr>
          <w:rFonts w:ascii="Calibri" w:eastAsia="Times New Roman" w:hAnsi="Calibri"/>
          <w:sz w:val="24"/>
          <w:rtl/>
          <w:lang w:val="en-GB"/>
        </w:rPr>
        <w:t>–</w:t>
      </w:r>
      <w:r>
        <w:rPr>
          <w:rFonts w:ascii="Calibri" w:eastAsia="Times New Roman" w:hAnsi="Calibri" w:hint="cs"/>
          <w:sz w:val="24"/>
          <w:rtl/>
          <w:lang w:val="en-GB"/>
        </w:rPr>
        <w:t xml:space="preserve"> אנטי מהותנות</w:t>
      </w:r>
    </w:p>
    <w:p w14:paraId="1EAE79A2" w14:textId="77777777" w:rsidR="00C72E4E" w:rsidRDefault="00C72E4E" w:rsidP="00C72E4E">
      <w:pPr>
        <w:contextualSpacing/>
        <w:rPr>
          <w:rFonts w:ascii="Times New Roman" w:eastAsia="Times New Roman" w:hAnsi="Times New Roman" w:cs="Times New Roman"/>
          <w:sz w:val="24"/>
          <w:rtl/>
        </w:rPr>
      </w:pPr>
    </w:p>
    <w:p w14:paraId="1EAE79A3" w14:textId="77777777" w:rsidR="00C72E4E" w:rsidRDefault="00C72E4E" w:rsidP="00C72E4E">
      <w:pPr>
        <w:contextualSpacing/>
        <w:rPr>
          <w:rFonts w:ascii="Times New Roman" w:eastAsia="Times New Roman" w:hAnsi="Times New Roman" w:cs="Times New Roman"/>
          <w:sz w:val="24"/>
        </w:rPr>
      </w:pPr>
    </w:p>
    <w:p w14:paraId="32654093" w14:textId="77777777" w:rsidR="005F2DAB" w:rsidRDefault="005F2DAB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4.5.2020</w:t>
      </w:r>
    </w:p>
    <w:p w14:paraId="1EAE79A5" w14:textId="44A2BE24" w:rsidR="003F6CE9" w:rsidRPr="00FF4B24" w:rsidRDefault="003F6CE9" w:rsidP="005F2DAB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הבעיה התיאולוגית וההצעות לפתרונה</w:t>
      </w:r>
    </w:p>
    <w:p w14:paraId="1EAE79A6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u w:val="single"/>
          <w:rtl/>
        </w:rPr>
      </w:pPr>
    </w:p>
    <w:p w14:paraId="1EAE79A7" w14:textId="37D3DCE4" w:rsidR="003F6CE9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u w:val="single"/>
          <w:rtl/>
        </w:rPr>
        <w:t>הגשת תרגיל ביניים</w:t>
      </w:r>
      <w:r w:rsidRPr="00FF4B24">
        <w:rPr>
          <w:rFonts w:ascii="Calibri" w:eastAsia="Times New Roman" w:hAnsi="Calibri" w:hint="cs"/>
          <w:b/>
          <w:bCs/>
          <w:sz w:val="24"/>
          <w:rtl/>
        </w:rPr>
        <w:t xml:space="preserve">: </w:t>
      </w:r>
    </w:p>
    <w:p w14:paraId="1EAE79A8" w14:textId="77777777" w:rsidR="003F6CE9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A9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 xml:space="preserve">עייני 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במאמריהן של אוזיק ופלאסקו </w:t>
      </w:r>
      <w:r w:rsidRPr="00FF4B24">
        <w:rPr>
          <w:rFonts w:ascii="Calibri" w:eastAsia="Times New Roman" w:hAnsi="Calibri" w:hint="cs"/>
          <w:b/>
          <w:bCs/>
          <w:sz w:val="24"/>
          <w:rtl/>
        </w:rPr>
        <w:t xml:space="preserve">והסבירי את המחלוקת </w:t>
      </w:r>
      <w:r>
        <w:rPr>
          <w:rFonts w:ascii="Calibri" w:eastAsia="Times New Roman" w:hAnsi="Calibri" w:hint="cs"/>
          <w:b/>
          <w:bCs/>
          <w:sz w:val="24"/>
          <w:rtl/>
        </w:rPr>
        <w:t xml:space="preserve">ביניהן </w:t>
      </w:r>
      <w:r w:rsidRPr="00FF4B24">
        <w:rPr>
          <w:rFonts w:ascii="Calibri" w:eastAsia="Times New Roman" w:hAnsi="Calibri" w:hint="cs"/>
          <w:b/>
          <w:bCs/>
          <w:sz w:val="24"/>
          <w:rtl/>
        </w:rPr>
        <w:t>תוך סיכום עיקרי טיעוניהן.</w:t>
      </w:r>
    </w:p>
    <w:p w14:paraId="1EAE79AA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AB" w14:textId="77777777" w:rsidR="003F6CE9" w:rsidRPr="003F6CE9" w:rsidRDefault="003F6CE9" w:rsidP="003F6CE9">
      <w:pPr>
        <w:pStyle w:val="ListParagraph"/>
        <w:numPr>
          <w:ilvl w:val="0"/>
          <w:numId w:val="10"/>
        </w:numPr>
        <w:bidi/>
        <w:spacing w:after="200" w:line="276" w:lineRule="auto"/>
        <w:jc w:val="left"/>
        <w:rPr>
          <w:rFonts w:ascii="Times New Roman" w:eastAsia="Times New Roman" w:hAnsi="Times New Roman" w:cs="Times New Roman"/>
          <w:sz w:val="24"/>
        </w:rPr>
      </w:pPr>
      <w:r w:rsidRPr="003F6CE9">
        <w:rPr>
          <w:rFonts w:ascii="Calibri" w:eastAsia="Times New Roman" w:hAnsi="Calibri" w:hint="cs"/>
          <w:sz w:val="24"/>
          <w:rtl/>
        </w:rPr>
        <w:t xml:space="preserve">סינתיה אוזיק, "הערות לשם מציאת השאלה הנכונה", בתוך: דב רפל (עורך), </w:t>
      </w:r>
      <w:r w:rsidRPr="003F6CE9">
        <w:rPr>
          <w:rFonts w:ascii="Calibri" w:eastAsia="Times New Roman" w:hAnsi="Calibri" w:hint="cs"/>
          <w:i/>
          <w:iCs/>
          <w:sz w:val="24"/>
          <w:rtl/>
        </w:rPr>
        <w:t>הפנינה- האישה היהודית  בחברה, במשפחה ובחינוך: ספר זיכרון לפנינה רפל</w:t>
      </w:r>
      <w:r w:rsidRPr="003F6CE9">
        <w:rPr>
          <w:rFonts w:ascii="Calibri" w:eastAsia="Times New Roman" w:hAnsi="Calibri" w:hint="cs"/>
          <w:sz w:val="24"/>
          <w:rtl/>
        </w:rPr>
        <w:t xml:space="preserve"> (ירושלים: תשמ"ט), עמ' 152-127  </w:t>
      </w:r>
    </w:p>
    <w:p w14:paraId="1EAE79AD" w14:textId="6B7B2397" w:rsidR="003F6CE9" w:rsidRDefault="003F6CE9" w:rsidP="003F6CE9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FF4B24">
        <w:rPr>
          <w:rFonts w:ascii="Times New Roman" w:eastAsia="Times New Roman" w:hAnsi="Times New Roman" w:cs="Times New Roman"/>
          <w:sz w:val="24"/>
        </w:rPr>
        <w:t xml:space="preserve">Judith Plaskow, “The Right Question is Theological”, </w:t>
      </w:r>
      <w:r w:rsidR="00D83745">
        <w:rPr>
          <w:rFonts w:ascii="Times New Roman" w:eastAsia="Times New Roman" w:hAnsi="Times New Roman" w:cs="Times New Roman"/>
          <w:sz w:val="24"/>
        </w:rPr>
        <w:t>edited by</w:t>
      </w:r>
      <w:r w:rsidRPr="00FF4B24">
        <w:rPr>
          <w:rFonts w:ascii="Times New Roman" w:eastAsia="Times New Roman" w:hAnsi="Times New Roman" w:cs="Times New Roman"/>
          <w:sz w:val="24"/>
        </w:rPr>
        <w:t xml:space="preserve"> Susannah Heschel</w:t>
      </w:r>
      <w:r w:rsidR="00D83745">
        <w:rPr>
          <w:rFonts w:ascii="Times New Roman" w:eastAsia="Times New Roman" w:hAnsi="Times New Roman" w:cs="Times New Roman"/>
          <w:sz w:val="24"/>
        </w:rPr>
        <w:t xml:space="preserve">, </w:t>
      </w:r>
      <w:r w:rsidRPr="00D83745">
        <w:rPr>
          <w:rFonts w:ascii="Times New Roman" w:eastAsia="Times New Roman" w:hAnsi="Times New Roman" w:cs="Times New Roman"/>
          <w:i/>
          <w:iCs/>
          <w:sz w:val="24"/>
        </w:rPr>
        <w:t>On Being a Jewish Feminist: A Reader</w:t>
      </w:r>
      <w:r w:rsidRPr="00FF4B24">
        <w:rPr>
          <w:rFonts w:ascii="Times New Roman" w:eastAsia="Times New Roman" w:hAnsi="Times New Roman" w:cs="Times New Roman"/>
          <w:sz w:val="24"/>
        </w:rPr>
        <w:t xml:space="preserve"> (New York: Schocken Books, 1983), pp. 223-234</w:t>
      </w:r>
    </w:p>
    <w:p w14:paraId="1EAE79AE" w14:textId="77777777" w:rsidR="003F6CE9" w:rsidRPr="003F6CE9" w:rsidRDefault="003F6CE9" w:rsidP="003F6CE9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AF" w14:textId="77777777" w:rsidR="008B5448" w:rsidRPr="00FF4B24" w:rsidRDefault="008B5448" w:rsidP="008B5448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B1" w14:textId="6CC2773A" w:rsidR="006C77AF" w:rsidRPr="005F2DAB" w:rsidRDefault="005F2DAB" w:rsidP="006C77AF">
      <w:pPr>
        <w:bidi/>
        <w:rPr>
          <w:rFonts w:ascii="Calibri" w:eastAsia="Times New Roman" w:hAnsi="Calibri"/>
          <w:b/>
          <w:bCs/>
          <w:sz w:val="24"/>
        </w:rPr>
      </w:pPr>
      <w:r w:rsidRPr="005F2DAB">
        <w:rPr>
          <w:rFonts w:ascii="Calibri" w:eastAsia="Times New Roman" w:hAnsi="Calibri" w:hint="cs"/>
          <w:b/>
          <w:bCs/>
          <w:sz w:val="24"/>
          <w:rtl/>
        </w:rPr>
        <w:t>11.5.2020</w:t>
      </w:r>
    </w:p>
    <w:p w14:paraId="1EAE79B2" w14:textId="77777777" w:rsidR="003F6CE9" w:rsidRPr="001828C9" w:rsidRDefault="003F6CE9" w:rsidP="003F6CE9">
      <w:pPr>
        <w:bidi/>
        <w:rPr>
          <w:rFonts w:ascii="Calibri" w:eastAsia="Times New Roman" w:hAnsi="Calibri"/>
          <w:sz w:val="24"/>
          <w:rtl/>
        </w:rPr>
      </w:pPr>
      <w:r w:rsidRPr="001828C9">
        <w:rPr>
          <w:rFonts w:ascii="Calibri" w:eastAsia="Times New Roman" w:hAnsi="Calibri" w:hint="cs"/>
          <w:b/>
          <w:bCs/>
          <w:sz w:val="24"/>
          <w:rtl/>
        </w:rPr>
        <w:t>האתגר ההלכתי</w:t>
      </w:r>
    </w:p>
    <w:p w14:paraId="1EAE79B3" w14:textId="77777777" w:rsidR="003F6CE9" w:rsidRPr="001828C9" w:rsidRDefault="003F6CE9" w:rsidP="003F6CE9">
      <w:pPr>
        <w:bidi/>
        <w:rPr>
          <w:rFonts w:ascii="Calibri" w:eastAsia="Times New Roman" w:hAnsi="Calibri"/>
          <w:sz w:val="24"/>
          <w:rtl/>
        </w:rPr>
      </w:pPr>
    </w:p>
    <w:p w14:paraId="1EAE79B4" w14:textId="77777777" w:rsidR="003F6CE9" w:rsidRPr="003F6CE9" w:rsidRDefault="003F6CE9" w:rsidP="000C772A">
      <w:pPr>
        <w:pStyle w:val="ListParagraph"/>
        <w:numPr>
          <w:ilvl w:val="0"/>
          <w:numId w:val="10"/>
        </w:numPr>
        <w:bidi/>
        <w:spacing w:after="200"/>
        <w:jc w:val="left"/>
        <w:rPr>
          <w:rFonts w:ascii="Calibri" w:eastAsia="Times New Roman" w:hAnsi="Calibri"/>
          <w:b/>
          <w:bCs/>
          <w:sz w:val="24"/>
        </w:rPr>
      </w:pPr>
      <w:r w:rsidRPr="003F6CE9">
        <w:rPr>
          <w:rFonts w:ascii="Calibri" w:eastAsia="Times New Roman" w:hAnsi="Calibri" w:hint="cs"/>
          <w:sz w:val="24"/>
          <w:rtl/>
        </w:rPr>
        <w:t xml:space="preserve">רונית עיר-שי, </w:t>
      </w:r>
      <w:r w:rsidRPr="003F6CE9">
        <w:rPr>
          <w:rFonts w:ascii="David" w:eastAsia="Times New Roman" w:hAnsi="Calibri" w:hint="cs"/>
          <w:sz w:val="24"/>
          <w:rtl/>
          <w:lang w:bidi="en-US"/>
        </w:rPr>
        <w:t>"</w:t>
      </w:r>
      <w:r w:rsidRPr="003F6CE9">
        <w:rPr>
          <w:rFonts w:ascii="Calibri" w:eastAsia="Times New Roman" w:hAnsi="Calibri" w:hint="cs"/>
          <w:sz w:val="24"/>
          <w:rtl/>
        </w:rPr>
        <w:t>שיקול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דעת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הלכתי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והטיות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על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בסיס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מגדרי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David" w:eastAsia="Times New Roman" w:hAnsi="Calibri"/>
          <w:sz w:val="24"/>
          <w:rtl/>
          <w:lang w:bidi="en-US"/>
        </w:rPr>
        <w:t>–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ניתוח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sz w:val="24"/>
          <w:rtl/>
        </w:rPr>
        <w:t>מושגי</w:t>
      </w:r>
      <w:r w:rsidRPr="003F6CE9">
        <w:rPr>
          <w:rFonts w:ascii="David" w:eastAsia="Times New Roman" w:hAnsi="Calibri" w:hint="cs"/>
          <w:sz w:val="24"/>
          <w:rtl/>
          <w:lang w:bidi="en-US"/>
        </w:rPr>
        <w:t xml:space="preserve">", </w:t>
      </w:r>
      <w:r w:rsidRPr="003F6CE9">
        <w:rPr>
          <w:rFonts w:ascii="Calibri" w:eastAsia="Times New Roman" w:hAnsi="Calibri" w:hint="cs"/>
          <w:i/>
          <w:iCs/>
          <w:sz w:val="24"/>
          <w:rtl/>
        </w:rPr>
        <w:t>תרבות</w:t>
      </w:r>
      <w:r w:rsidRPr="003F6CE9">
        <w:rPr>
          <w:rFonts w:ascii="David" w:eastAsia="Times New Roman" w:hAnsi="Calibri" w:hint="cs"/>
          <w:i/>
          <w:iCs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 w:hint="cs"/>
          <w:i/>
          <w:iCs/>
          <w:sz w:val="24"/>
          <w:rtl/>
        </w:rPr>
        <w:t>דמוקרטית</w:t>
      </w:r>
      <w:r w:rsidRPr="003F6CE9">
        <w:rPr>
          <w:rFonts w:ascii="David" w:eastAsia="Times New Roman" w:hAnsi="Calibri" w:hint="cs"/>
          <w:i/>
          <w:iCs/>
          <w:sz w:val="24"/>
          <w:rtl/>
          <w:lang w:bidi="en-US"/>
        </w:rPr>
        <w:t xml:space="preserve"> </w:t>
      </w:r>
      <w:r w:rsidRPr="003F6CE9">
        <w:rPr>
          <w:rFonts w:ascii="Calibri" w:eastAsia="Times New Roman" w:hAnsi="Calibri"/>
          <w:sz w:val="24"/>
          <w:lang w:bidi="en-US"/>
        </w:rPr>
        <w:t>16</w:t>
      </w:r>
      <w:r w:rsidRPr="003F6CE9">
        <w:rPr>
          <w:rFonts w:ascii="Calibri" w:eastAsia="Times New Roman" w:hAnsi="Calibri" w:hint="cs"/>
          <w:sz w:val="24"/>
          <w:rtl/>
        </w:rPr>
        <w:t xml:space="preserve"> (תשע"ד 2014), עמ' 141-185.</w:t>
      </w:r>
    </w:p>
    <w:p w14:paraId="1EAE79B5" w14:textId="77777777" w:rsidR="00831EFB" w:rsidRPr="00FF4B24" w:rsidRDefault="00831EFB" w:rsidP="00831EFB">
      <w:pPr>
        <w:rPr>
          <w:rFonts w:ascii="Times New Roman" w:eastAsia="Times New Roman" w:hAnsi="Times New Roman" w:cs="Times New Roman"/>
          <w:sz w:val="24"/>
        </w:rPr>
      </w:pPr>
    </w:p>
    <w:p w14:paraId="1EAE79B6" w14:textId="77777777" w:rsidR="000A2C68" w:rsidRPr="00831EFB" w:rsidRDefault="000A2C68" w:rsidP="000A2C68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3B8A9237" w14:textId="0EFDF207" w:rsidR="00150329" w:rsidRDefault="00150329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18.5.2020</w:t>
      </w:r>
    </w:p>
    <w:p w14:paraId="3F3ABA34" w14:textId="22FFFB35" w:rsidR="00390B6E" w:rsidRDefault="00390B6E" w:rsidP="00390B6E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אין לימודים. נסיעה למרכז "אשה לאשה"</w:t>
      </w:r>
      <w:r w:rsidR="00A05D5E">
        <w:rPr>
          <w:rFonts w:ascii="Calibri" w:eastAsia="Times New Roman" w:hAnsi="Calibri" w:hint="cs"/>
          <w:b/>
          <w:bCs/>
          <w:sz w:val="24"/>
          <w:rtl/>
        </w:rPr>
        <w:t>.</w:t>
      </w:r>
    </w:p>
    <w:p w14:paraId="5154F080" w14:textId="77777777" w:rsidR="00A05D5E" w:rsidRDefault="00A05D5E" w:rsidP="00A05D5E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BA" w14:textId="77777777" w:rsidR="00DB71A3" w:rsidRPr="00DB71A3" w:rsidRDefault="00DB71A3" w:rsidP="00DB71A3">
      <w:pPr>
        <w:bidi/>
        <w:ind w:left="284"/>
        <w:rPr>
          <w:rFonts w:ascii="Calibri" w:eastAsia="Times New Roman" w:hAnsi="Calibri"/>
          <w:sz w:val="24"/>
          <w:rtl/>
        </w:rPr>
      </w:pPr>
    </w:p>
    <w:p w14:paraId="1EAE79BB" w14:textId="77777777" w:rsidR="003F6CE9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36E687A9" w14:textId="0C700702" w:rsidR="00150329" w:rsidRDefault="00150329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25.5.2020</w:t>
      </w:r>
    </w:p>
    <w:p w14:paraId="11CC7C35" w14:textId="77777777" w:rsidR="00A05D5E" w:rsidRDefault="00A05D5E" w:rsidP="00A05D5E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התמודדות עם האתגר ההלכתי: תלמוד תורה לנשים</w:t>
      </w:r>
    </w:p>
    <w:p w14:paraId="6CC5B885" w14:textId="77777777" w:rsidR="00A05D5E" w:rsidRDefault="00A05D5E" w:rsidP="00A05D5E">
      <w:pPr>
        <w:pStyle w:val="ListParagraph"/>
        <w:numPr>
          <w:ilvl w:val="0"/>
          <w:numId w:val="10"/>
        </w:numPr>
        <w:bidi/>
        <w:rPr>
          <w:rFonts w:ascii="Calibri" w:eastAsia="Times New Roman" w:hAnsi="Calibri"/>
          <w:sz w:val="24"/>
        </w:rPr>
      </w:pPr>
      <w:r w:rsidRPr="0005223E">
        <w:rPr>
          <w:rFonts w:ascii="Calibri" w:eastAsia="Times New Roman" w:hAnsi="Calibri" w:hint="cs"/>
          <w:sz w:val="24"/>
          <w:rtl/>
        </w:rPr>
        <w:t>לימוד מקורות</w:t>
      </w:r>
    </w:p>
    <w:p w14:paraId="40C9905F" w14:textId="77777777" w:rsidR="00A05D5E" w:rsidRDefault="00A05D5E" w:rsidP="00A05D5E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740F6FB0" w14:textId="77777777" w:rsidR="00F61526" w:rsidRPr="00FF4B24" w:rsidRDefault="00F61526" w:rsidP="00F61526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0FA80EC6" w14:textId="77777777" w:rsidR="00894191" w:rsidRDefault="00894191" w:rsidP="003F6CE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1.6.2020</w:t>
      </w:r>
    </w:p>
    <w:p w14:paraId="1EAE79C4" w14:textId="3A48A328" w:rsidR="003F6CE9" w:rsidRPr="00FF4B24" w:rsidRDefault="003F6CE9" w:rsidP="00894191">
      <w:pPr>
        <w:bidi/>
        <w:rPr>
          <w:rFonts w:ascii="Calibri" w:eastAsia="Times New Roman" w:hAnsi="Calibri"/>
          <w:b/>
          <w:bCs/>
          <w:sz w:val="24"/>
          <w:rtl/>
        </w:rPr>
      </w:pPr>
      <w:r w:rsidRPr="00FF4B24">
        <w:rPr>
          <w:rFonts w:ascii="Calibri" w:eastAsia="Times New Roman" w:hAnsi="Calibri" w:hint="cs"/>
          <w:b/>
          <w:bCs/>
          <w:sz w:val="24"/>
          <w:rtl/>
        </w:rPr>
        <w:t>משטור הגוף/מיניות/צניעות</w:t>
      </w:r>
    </w:p>
    <w:p w14:paraId="1EAE79C5" w14:textId="77777777" w:rsidR="003F6CE9" w:rsidRPr="00FF4B24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C6" w14:textId="10B96CCC" w:rsidR="003F6CE9" w:rsidRDefault="003F6CE9" w:rsidP="00A05D5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3F6CE9">
        <w:rPr>
          <w:rFonts w:ascii="Times New Roman" w:eastAsia="Times New Roman" w:hAnsi="Times New Roman" w:cs="Times New Roman"/>
          <w:sz w:val="24"/>
        </w:rPr>
        <w:t xml:space="preserve">Tova Hartman, "Modesty and the Religious Male Gaze", in </w:t>
      </w:r>
      <w:r w:rsidRPr="003F6CE9">
        <w:rPr>
          <w:rFonts w:ascii="Times New Roman" w:eastAsia="Times New Roman" w:hAnsi="Times New Roman" w:cs="Times New Roman"/>
          <w:i/>
          <w:iCs/>
          <w:sz w:val="24"/>
        </w:rPr>
        <w:t>Feminism Encounters Traditional Judaism</w:t>
      </w:r>
      <w:r w:rsidRPr="003F6CE9">
        <w:rPr>
          <w:rFonts w:ascii="Times New Roman" w:eastAsia="Times New Roman" w:hAnsi="Times New Roman" w:cs="Times New Roman"/>
          <w:sz w:val="24"/>
        </w:rPr>
        <w:t xml:space="preserve"> (Waltham: Brandeis Univ. Press, 2007), pp.45-61</w:t>
      </w:r>
    </w:p>
    <w:p w14:paraId="348F8D33" w14:textId="77777777" w:rsidR="00D70F00" w:rsidRDefault="00D70F00" w:rsidP="00D70F00">
      <w:pPr>
        <w:pStyle w:val="ListParagraph"/>
        <w:ind w:left="644"/>
        <w:rPr>
          <w:rFonts w:ascii="Times New Roman" w:eastAsia="Times New Roman" w:hAnsi="Times New Roman" w:cs="Times New Roman"/>
          <w:sz w:val="24"/>
        </w:rPr>
      </w:pPr>
    </w:p>
    <w:p w14:paraId="0F2CB550" w14:textId="6089FCEC" w:rsidR="00D70F00" w:rsidRPr="00290D8A" w:rsidRDefault="00D70F00" w:rsidP="00A05D5E">
      <w:pPr>
        <w:pStyle w:val="ListParagraph"/>
        <w:numPr>
          <w:ilvl w:val="0"/>
          <w:numId w:val="10"/>
        </w:numPr>
        <w:bidi/>
        <w:rPr>
          <w:rFonts w:ascii="David" w:eastAsia="Times New Roman" w:hAnsi="David"/>
          <w:sz w:val="24"/>
        </w:rPr>
      </w:pPr>
      <w:r w:rsidRPr="00290D8A">
        <w:rPr>
          <w:rFonts w:ascii="David" w:eastAsia="Times New Roman" w:hAnsi="David" w:hint="cs"/>
          <w:sz w:val="24"/>
          <w:rtl/>
        </w:rPr>
        <w:t xml:space="preserve">תמר רוס, </w:t>
      </w:r>
      <w:r w:rsidR="001C66D2" w:rsidRPr="00290D8A">
        <w:rPr>
          <w:rFonts w:ascii="David" w:eastAsia="Times New Roman" w:hAnsi="David" w:hint="cs"/>
          <w:sz w:val="24"/>
          <w:rtl/>
        </w:rPr>
        <w:t>"תרומת הפמיניזם לדיון ההלכתי</w:t>
      </w:r>
      <w:r w:rsidR="00FE6F06" w:rsidRPr="00290D8A">
        <w:rPr>
          <w:rFonts w:ascii="David" w:eastAsia="Times New Roman" w:hAnsi="David" w:hint="cs"/>
          <w:sz w:val="24"/>
          <w:rtl/>
        </w:rPr>
        <w:t>: '</w:t>
      </w:r>
      <w:r w:rsidR="001C66D2" w:rsidRPr="00290D8A">
        <w:rPr>
          <w:rFonts w:ascii="David" w:eastAsia="Times New Roman" w:hAnsi="David" w:hint="cs"/>
          <w:sz w:val="24"/>
          <w:rtl/>
        </w:rPr>
        <w:t>קול באישה ערווה</w:t>
      </w:r>
      <w:r w:rsidR="00FE6F06" w:rsidRPr="00290D8A">
        <w:rPr>
          <w:rFonts w:ascii="David" w:eastAsia="Times New Roman" w:hAnsi="David" w:hint="cs"/>
          <w:sz w:val="24"/>
          <w:rtl/>
        </w:rPr>
        <w:t>' כמקרה מבחן</w:t>
      </w:r>
      <w:r w:rsidR="00844CB5" w:rsidRPr="00290D8A">
        <w:rPr>
          <w:rFonts w:ascii="David" w:eastAsia="Times New Roman" w:hAnsi="David" w:hint="cs"/>
          <w:sz w:val="24"/>
          <w:rtl/>
        </w:rPr>
        <w:t>"</w:t>
      </w:r>
      <w:r w:rsidR="00FE6F06" w:rsidRPr="00290D8A">
        <w:rPr>
          <w:rFonts w:ascii="David" w:eastAsia="Times New Roman" w:hAnsi="David" w:hint="cs"/>
          <w:sz w:val="24"/>
          <w:rtl/>
        </w:rPr>
        <w:t xml:space="preserve">, בתוך: </w:t>
      </w:r>
      <w:r w:rsidR="00FE6F06" w:rsidRPr="00290D8A">
        <w:rPr>
          <w:rFonts w:ascii="David" w:eastAsia="Times New Roman" w:hAnsi="David" w:hint="cs"/>
          <w:i/>
          <w:iCs/>
          <w:sz w:val="24"/>
          <w:rtl/>
        </w:rPr>
        <w:t>הלכה, מטה-הלכה ופילוסופיה: עיון רב תחומי</w:t>
      </w:r>
      <w:r w:rsidR="00844CB5" w:rsidRPr="00290D8A">
        <w:rPr>
          <w:rFonts w:ascii="David" w:eastAsia="Times New Roman" w:hAnsi="David" w:hint="cs"/>
          <w:sz w:val="24"/>
          <w:rtl/>
        </w:rPr>
        <w:t>,</w:t>
      </w:r>
      <w:r w:rsidR="00BD4FAC" w:rsidRPr="00290D8A">
        <w:rPr>
          <w:rFonts w:ascii="David" w:eastAsia="Times New Roman" w:hAnsi="David" w:hint="cs"/>
          <w:sz w:val="24"/>
          <w:rtl/>
        </w:rPr>
        <w:t xml:space="preserve"> בעריכת אבינועם רוזנק (ירושלים: ון ליר ומאגנס, 2011), עמ' </w:t>
      </w:r>
      <w:r w:rsidR="00EB0CE6" w:rsidRPr="00290D8A">
        <w:rPr>
          <w:rFonts w:ascii="David" w:eastAsia="Times New Roman" w:hAnsi="David" w:hint="cs"/>
          <w:sz w:val="24"/>
          <w:rtl/>
        </w:rPr>
        <w:t>35-64.</w:t>
      </w:r>
    </w:p>
    <w:p w14:paraId="1EAE79C7" w14:textId="77777777" w:rsidR="003F6CE9" w:rsidRDefault="003F6CE9" w:rsidP="003F6CE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34E7007F" w14:textId="60C59F29" w:rsidR="00433216" w:rsidRPr="00FB470D" w:rsidRDefault="00433216" w:rsidP="00ED2BCD">
      <w:pPr>
        <w:bidi/>
        <w:spacing w:line="360" w:lineRule="auto"/>
        <w:rPr>
          <w:rFonts w:ascii="Calibri" w:eastAsia="Times New Roman" w:hAnsi="Calibri"/>
          <w:b/>
          <w:bCs/>
          <w:sz w:val="24"/>
          <w:rtl/>
        </w:rPr>
      </w:pPr>
    </w:p>
    <w:p w14:paraId="1EAE79CB" w14:textId="5B65B1A0" w:rsidR="006C4541" w:rsidRPr="003F1F1A" w:rsidRDefault="00894191" w:rsidP="003F1F1A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8.6.2020</w:t>
      </w:r>
    </w:p>
    <w:p w14:paraId="1EAE79CC" w14:textId="77777777" w:rsidR="0090316C" w:rsidRPr="00123314" w:rsidRDefault="00955F91" w:rsidP="006C4541">
      <w:pPr>
        <w:bidi/>
        <w:spacing w:line="360" w:lineRule="auto"/>
        <w:rPr>
          <w:rFonts w:eastAsiaTheme="minorEastAsia"/>
          <w:b/>
          <w:bCs/>
          <w:sz w:val="24"/>
          <w:highlight w:val="yellow"/>
          <w:rtl/>
        </w:rPr>
      </w:pPr>
      <w:r w:rsidRPr="000A2C68">
        <w:rPr>
          <w:rFonts w:eastAsiaTheme="minorEastAsia" w:hint="cs"/>
          <w:b/>
          <w:bCs/>
          <w:sz w:val="24"/>
          <w:rtl/>
        </w:rPr>
        <w:t>נישואים וגירושי</w:t>
      </w:r>
      <w:r w:rsidR="003F1F1A" w:rsidRPr="000A2C68">
        <w:rPr>
          <w:rFonts w:eastAsiaTheme="minorEastAsia" w:hint="cs"/>
          <w:b/>
          <w:bCs/>
          <w:sz w:val="24"/>
          <w:rtl/>
        </w:rPr>
        <w:t>ם</w:t>
      </w:r>
      <w:r w:rsidRPr="000A2C68">
        <w:rPr>
          <w:rFonts w:eastAsiaTheme="minorEastAsia" w:hint="cs"/>
          <w:b/>
          <w:bCs/>
          <w:sz w:val="24"/>
          <w:rtl/>
        </w:rPr>
        <w:t xml:space="preserve"> והדין הדתי</w:t>
      </w:r>
    </w:p>
    <w:p w14:paraId="1EAE79CD" w14:textId="12F15DB9" w:rsidR="000F7A72" w:rsidRDefault="009A0D37" w:rsidP="000F7A72">
      <w:pPr>
        <w:bidi/>
        <w:spacing w:line="360" w:lineRule="auto"/>
        <w:rPr>
          <w:rFonts w:eastAsiaTheme="minorEastAsia"/>
          <w:b/>
          <w:bCs/>
          <w:sz w:val="24"/>
          <w:rtl/>
        </w:rPr>
      </w:pPr>
      <w:r w:rsidRPr="009C7314">
        <w:rPr>
          <w:rFonts w:eastAsiaTheme="minorEastAsia" w:hint="cs"/>
          <w:b/>
          <w:bCs/>
          <w:sz w:val="24"/>
          <w:rtl/>
        </w:rPr>
        <w:t>מרצה אורחת</w:t>
      </w:r>
      <w:r w:rsidR="00123314" w:rsidRPr="009C7314">
        <w:rPr>
          <w:rFonts w:eastAsiaTheme="minorEastAsia" w:hint="cs"/>
          <w:b/>
          <w:bCs/>
          <w:sz w:val="24"/>
          <w:rtl/>
        </w:rPr>
        <w:t xml:space="preserve">: </w:t>
      </w:r>
      <w:r w:rsidR="009C7314">
        <w:rPr>
          <w:rFonts w:eastAsiaTheme="minorEastAsia" w:hint="cs"/>
          <w:b/>
          <w:bCs/>
          <w:sz w:val="24"/>
          <w:rtl/>
        </w:rPr>
        <w:t xml:space="preserve">ד"ר </w:t>
      </w:r>
      <w:r w:rsidR="00DD1C23" w:rsidRPr="009C7314">
        <w:rPr>
          <w:rFonts w:eastAsiaTheme="minorEastAsia" w:hint="cs"/>
          <w:b/>
          <w:bCs/>
          <w:sz w:val="24"/>
          <w:rtl/>
        </w:rPr>
        <w:t>סוזן וייס</w:t>
      </w:r>
      <w:r w:rsidR="009C7314">
        <w:rPr>
          <w:rFonts w:eastAsiaTheme="minorEastAsia" w:hint="cs"/>
          <w:b/>
          <w:bCs/>
          <w:sz w:val="24"/>
          <w:rtl/>
        </w:rPr>
        <w:t>, מרכז צדק לנשים.</w:t>
      </w:r>
    </w:p>
    <w:p w14:paraId="50A53DB3" w14:textId="0E75E1DE" w:rsidR="00E2446A" w:rsidRPr="007F432E" w:rsidRDefault="00E2446A" w:rsidP="00E2446A">
      <w:pPr>
        <w:pStyle w:val="ListParagraph"/>
        <w:numPr>
          <w:ilvl w:val="0"/>
          <w:numId w:val="10"/>
        </w:numPr>
        <w:bidi/>
        <w:spacing w:line="360" w:lineRule="auto"/>
        <w:rPr>
          <w:rFonts w:eastAsiaTheme="minorEastAsia"/>
          <w:sz w:val="24"/>
          <w:rtl/>
        </w:rPr>
      </w:pPr>
      <w:r w:rsidRPr="00E2446A">
        <w:rPr>
          <w:rFonts w:eastAsiaTheme="minorEastAsia" w:hint="cs"/>
          <w:sz w:val="24"/>
          <w:rtl/>
        </w:rPr>
        <w:lastRenderedPageBreak/>
        <w:t xml:space="preserve">רותי הלפרין קדרי, </w:t>
      </w:r>
      <w:r>
        <w:rPr>
          <w:rFonts w:eastAsiaTheme="minorEastAsia" w:hint="cs"/>
          <w:sz w:val="24"/>
          <w:rtl/>
        </w:rPr>
        <w:t>"</w:t>
      </w:r>
      <w:r w:rsidRPr="00E2446A">
        <w:rPr>
          <w:rFonts w:eastAsiaTheme="minorEastAsia" w:hint="cs"/>
          <w:sz w:val="24"/>
          <w:rtl/>
        </w:rPr>
        <w:t>דיני נישואין וגירושין והבניית המגדר</w:t>
      </w:r>
      <w:r>
        <w:rPr>
          <w:rFonts w:eastAsiaTheme="minorEastAsia" w:hint="cs"/>
          <w:sz w:val="24"/>
          <w:rtl/>
        </w:rPr>
        <w:t>"</w:t>
      </w:r>
      <w:r w:rsidRPr="00E2446A">
        <w:rPr>
          <w:rFonts w:eastAsiaTheme="minorEastAsia" w:hint="cs"/>
          <w:sz w:val="24"/>
          <w:rtl/>
        </w:rPr>
        <w:t xml:space="preserve">, </w:t>
      </w:r>
      <w:r w:rsidR="00BC1D0A">
        <w:rPr>
          <w:rFonts w:eastAsiaTheme="minorEastAsia" w:hint="cs"/>
          <w:sz w:val="24"/>
          <w:rtl/>
        </w:rPr>
        <w:t xml:space="preserve">בתוך: </w:t>
      </w:r>
      <w:r w:rsidR="00BC1D0A" w:rsidRPr="00BC1D0A">
        <w:rPr>
          <w:rFonts w:eastAsiaTheme="minorEastAsia" w:hint="cs"/>
          <w:i/>
          <w:iCs/>
          <w:sz w:val="24"/>
          <w:rtl/>
        </w:rPr>
        <w:t>להיות אישה יהודייה</w:t>
      </w:r>
      <w:r w:rsidR="00BC1D0A" w:rsidRPr="007F432E">
        <w:rPr>
          <w:rFonts w:eastAsiaTheme="minorEastAsia" w:hint="cs"/>
          <w:sz w:val="24"/>
          <w:rtl/>
        </w:rPr>
        <w:t xml:space="preserve">, </w:t>
      </w:r>
      <w:r w:rsidR="00E0188E">
        <w:rPr>
          <w:rFonts w:eastAsiaTheme="minorEastAsia" w:hint="cs"/>
          <w:sz w:val="24"/>
          <w:rtl/>
        </w:rPr>
        <w:t>בעריכת מרגלית שילה (</w:t>
      </w:r>
      <w:r w:rsidR="00C84344">
        <w:rPr>
          <w:rFonts w:eastAsiaTheme="minorEastAsia" w:hint="cs"/>
          <w:sz w:val="24"/>
          <w:rtl/>
        </w:rPr>
        <w:t xml:space="preserve">ירושלים: אורים, 2001), </w:t>
      </w:r>
      <w:bookmarkStart w:id="0" w:name="_GoBack"/>
      <w:bookmarkEnd w:id="0"/>
      <w:r w:rsidR="00BC1D0A" w:rsidRPr="007F432E">
        <w:rPr>
          <w:rFonts w:eastAsiaTheme="minorEastAsia" w:hint="cs"/>
          <w:sz w:val="24"/>
          <w:rtl/>
        </w:rPr>
        <w:t xml:space="preserve">עמ' </w:t>
      </w:r>
      <w:r w:rsidR="007F432E" w:rsidRPr="007F432E">
        <w:rPr>
          <w:rFonts w:eastAsiaTheme="minorEastAsia" w:hint="cs"/>
          <w:sz w:val="24"/>
          <w:rtl/>
        </w:rPr>
        <w:t>155-167.</w:t>
      </w:r>
    </w:p>
    <w:p w14:paraId="1EAE79D0" w14:textId="77777777" w:rsidR="009A0D37" w:rsidRPr="00FF4B24" w:rsidRDefault="009A0D37" w:rsidP="009A0D37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p w14:paraId="1EAE79D1" w14:textId="3CBBD240" w:rsidR="008B5448" w:rsidRDefault="00894191" w:rsidP="00A15D49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15.6.2020</w:t>
      </w:r>
    </w:p>
    <w:p w14:paraId="1EAE79D2" w14:textId="77777777" w:rsidR="00955F91" w:rsidRDefault="00955F91" w:rsidP="00955F91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נשות הכותל ומהפכת המניינים ה</w:t>
      </w:r>
      <w:r w:rsidR="007C78CA">
        <w:rPr>
          <w:rFonts w:ascii="Calibri" w:eastAsia="Times New Roman" w:hAnsi="Calibri" w:hint="cs"/>
          <w:b/>
          <w:bCs/>
          <w:sz w:val="24"/>
          <w:rtl/>
        </w:rPr>
        <w:t>שיתופיים</w:t>
      </w:r>
    </w:p>
    <w:p w14:paraId="1EAE79D3" w14:textId="77777777" w:rsidR="00903D43" w:rsidRDefault="00903D43" w:rsidP="00903D43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D4" w14:textId="77777777" w:rsidR="009A0D37" w:rsidRDefault="002844C6" w:rsidP="00A05D5E">
      <w:pPr>
        <w:pStyle w:val="ListParagraph"/>
        <w:numPr>
          <w:ilvl w:val="0"/>
          <w:numId w:val="10"/>
        </w:numPr>
        <w:bidi/>
        <w:rPr>
          <w:rFonts w:ascii="Calibri" w:eastAsia="Times New Roman" w:hAnsi="Calibri"/>
          <w:sz w:val="24"/>
        </w:rPr>
      </w:pPr>
      <w:r>
        <w:rPr>
          <w:rFonts w:ascii="Calibri" w:eastAsia="Times New Roman" w:hAnsi="Calibri" w:hint="cs"/>
          <w:sz w:val="24"/>
          <w:rtl/>
        </w:rPr>
        <w:t xml:space="preserve">רדאי </w:t>
      </w:r>
      <w:r w:rsidR="00903D43" w:rsidRPr="00903D43">
        <w:rPr>
          <w:rFonts w:ascii="Calibri" w:eastAsia="Times New Roman" w:hAnsi="Calibri"/>
          <w:sz w:val="24"/>
          <w:rtl/>
        </w:rPr>
        <w:t>פרנסס</w:t>
      </w:r>
      <w:r>
        <w:rPr>
          <w:rFonts w:ascii="Calibri" w:eastAsia="Times New Roman" w:hAnsi="Calibri" w:hint="cs"/>
          <w:sz w:val="24"/>
          <w:rtl/>
        </w:rPr>
        <w:t>,</w:t>
      </w:r>
      <w:r w:rsidR="00903D43" w:rsidRPr="00903D43">
        <w:rPr>
          <w:rFonts w:ascii="Calibri" w:eastAsia="Times New Roman" w:hAnsi="Calibri"/>
          <w:sz w:val="24"/>
          <w:rtl/>
        </w:rPr>
        <w:t xml:space="preserve"> "תביעה לשוויון בהגדרת הזהות הדתית: מקרה נשות הכותל – סאגה בבית המשפט העליון"</w:t>
      </w:r>
      <w:r w:rsidR="00844245">
        <w:rPr>
          <w:rFonts w:ascii="Calibri" w:eastAsia="Times New Roman" w:hAnsi="Calibri" w:hint="cs"/>
          <w:sz w:val="24"/>
          <w:rtl/>
        </w:rPr>
        <w:t xml:space="preserve">, </w:t>
      </w:r>
      <w:r w:rsidR="00903D43" w:rsidRPr="00844245">
        <w:rPr>
          <w:rFonts w:ascii="Calibri" w:eastAsia="Times New Roman" w:hAnsi="Calibri"/>
          <w:i/>
          <w:iCs/>
          <w:sz w:val="24"/>
          <w:rtl/>
        </w:rPr>
        <w:t>המשפט</w:t>
      </w:r>
      <w:r w:rsidR="00903D43" w:rsidRPr="00903D43">
        <w:rPr>
          <w:rFonts w:ascii="Calibri" w:eastAsia="Times New Roman" w:hAnsi="Calibri"/>
          <w:sz w:val="24"/>
          <w:rtl/>
        </w:rPr>
        <w:t xml:space="preserve"> יג (2008)</w:t>
      </w:r>
      <w:r w:rsidR="00844245">
        <w:rPr>
          <w:rFonts w:ascii="Calibri" w:eastAsia="Times New Roman" w:hAnsi="Calibri" w:hint="cs"/>
          <w:sz w:val="24"/>
          <w:rtl/>
        </w:rPr>
        <w:t>, עמ' 401-425.</w:t>
      </w:r>
    </w:p>
    <w:p w14:paraId="1EAE79D5" w14:textId="77777777" w:rsidR="002844C6" w:rsidRPr="00903D43" w:rsidRDefault="002844C6" w:rsidP="002844C6">
      <w:pPr>
        <w:pStyle w:val="ListParagraph"/>
        <w:bidi/>
        <w:ind w:left="360"/>
        <w:rPr>
          <w:rFonts w:ascii="Calibri" w:eastAsia="Times New Roman" w:hAnsi="Calibri"/>
          <w:sz w:val="24"/>
          <w:rtl/>
        </w:rPr>
      </w:pPr>
    </w:p>
    <w:p w14:paraId="1EAE79D6" w14:textId="77777777" w:rsidR="008B5448" w:rsidRDefault="008B5448" w:rsidP="008B5448">
      <w:pPr>
        <w:bidi/>
        <w:rPr>
          <w:rFonts w:ascii="Calibri" w:eastAsia="Times New Roman" w:hAnsi="Calibri"/>
          <w:sz w:val="24"/>
          <w:rtl/>
        </w:rPr>
      </w:pPr>
    </w:p>
    <w:p w14:paraId="1EAE79D7" w14:textId="58BD1D36" w:rsidR="00A15D49" w:rsidRDefault="000133D0" w:rsidP="008B5448">
      <w:pPr>
        <w:bidi/>
        <w:rPr>
          <w:rFonts w:ascii="Calibri" w:eastAsia="Times New Roman" w:hAnsi="Calibri"/>
          <w:b/>
          <w:bCs/>
          <w:sz w:val="24"/>
          <w:rtl/>
        </w:rPr>
      </w:pPr>
      <w:r>
        <w:rPr>
          <w:rFonts w:ascii="Calibri" w:eastAsia="Times New Roman" w:hAnsi="Calibri" w:hint="cs"/>
          <w:b/>
          <w:bCs/>
          <w:sz w:val="24"/>
          <w:rtl/>
        </w:rPr>
        <w:t>22.6.2020</w:t>
      </w:r>
    </w:p>
    <w:p w14:paraId="1EAE79D8" w14:textId="77777777" w:rsidR="00955F91" w:rsidRDefault="00955F91" w:rsidP="00955F91">
      <w:pPr>
        <w:bidi/>
        <w:spacing w:line="360" w:lineRule="auto"/>
        <w:rPr>
          <w:rFonts w:eastAsiaTheme="minorEastAsia"/>
          <w:b/>
          <w:bCs/>
          <w:sz w:val="24"/>
          <w:rtl/>
        </w:rPr>
      </w:pPr>
      <w:r>
        <w:rPr>
          <w:rFonts w:eastAsiaTheme="minorEastAsia" w:hint="cs"/>
          <w:b/>
          <w:bCs/>
          <w:sz w:val="24"/>
          <w:rtl/>
        </w:rPr>
        <w:t>הלכה ו</w:t>
      </w:r>
      <w:r w:rsidR="000A2C68">
        <w:rPr>
          <w:rFonts w:eastAsiaTheme="minorEastAsia" w:hint="cs"/>
          <w:b/>
          <w:bCs/>
          <w:sz w:val="24"/>
          <w:rtl/>
        </w:rPr>
        <w:t>להט"ביות</w:t>
      </w:r>
    </w:p>
    <w:p w14:paraId="72AB904F" w14:textId="05F2AC59" w:rsidR="001A398C" w:rsidRPr="00290D8A" w:rsidRDefault="001A398C" w:rsidP="00A05D5E">
      <w:pPr>
        <w:pStyle w:val="ListParagraph"/>
        <w:numPr>
          <w:ilvl w:val="0"/>
          <w:numId w:val="10"/>
        </w:numPr>
        <w:bidi/>
        <w:rPr>
          <w:rFonts w:ascii="Calibri" w:eastAsia="Times New Roman" w:hAnsi="Calibri"/>
          <w:sz w:val="24"/>
        </w:rPr>
      </w:pPr>
      <w:r w:rsidRPr="00290D8A">
        <w:rPr>
          <w:rFonts w:ascii="Calibri" w:eastAsia="Times New Roman" w:hAnsi="Calibri" w:hint="cs"/>
          <w:sz w:val="24"/>
          <w:rtl/>
        </w:rPr>
        <w:t xml:space="preserve">רונית עיר-שי, </w:t>
      </w:r>
      <w:r w:rsidR="003C16A5" w:rsidRPr="00290D8A">
        <w:rPr>
          <w:rFonts w:ascii="Calibri" w:eastAsia="Times New Roman" w:hAnsi="Calibri" w:hint="cs"/>
          <w:sz w:val="24"/>
          <w:rtl/>
        </w:rPr>
        <w:t xml:space="preserve">"אתגר ההומוסקסואליות הגברית </w:t>
      </w:r>
      <w:r w:rsidR="003C16A5" w:rsidRPr="00290D8A">
        <w:rPr>
          <w:rFonts w:ascii="Calibri" w:eastAsia="Times New Roman" w:hAnsi="Calibri"/>
          <w:sz w:val="24"/>
          <w:rtl/>
        </w:rPr>
        <w:t>–</w:t>
      </w:r>
      <w:r w:rsidR="003C16A5" w:rsidRPr="00290D8A">
        <w:rPr>
          <w:rFonts w:ascii="Calibri" w:eastAsia="Times New Roman" w:hAnsi="Calibri" w:hint="cs"/>
          <w:sz w:val="24"/>
          <w:rtl/>
        </w:rPr>
        <w:t xml:space="preserve"> תאולוגיה, מוסר והלכה", </w:t>
      </w:r>
      <w:r w:rsidR="00904B3A" w:rsidRPr="00E2446A">
        <w:rPr>
          <w:rFonts w:ascii="Calibri" w:eastAsia="Times New Roman" w:hAnsi="Calibri" w:hint="cs"/>
          <w:i/>
          <w:iCs/>
          <w:sz w:val="24"/>
          <w:rtl/>
        </w:rPr>
        <w:t>ראשית</w:t>
      </w:r>
      <w:r w:rsidR="00904B3A" w:rsidRPr="00290D8A">
        <w:rPr>
          <w:rFonts w:ascii="Calibri" w:eastAsia="Times New Roman" w:hAnsi="Calibri" w:hint="cs"/>
          <w:sz w:val="24"/>
          <w:rtl/>
        </w:rPr>
        <w:t xml:space="preserve"> 3 (תשע"ט), עמ' </w:t>
      </w:r>
      <w:r w:rsidR="00CA751A" w:rsidRPr="00290D8A">
        <w:rPr>
          <w:rFonts w:ascii="Calibri" w:eastAsia="Times New Roman" w:hAnsi="Calibri" w:hint="cs"/>
          <w:sz w:val="24"/>
          <w:rtl/>
        </w:rPr>
        <w:t>47-72.</w:t>
      </w:r>
    </w:p>
    <w:p w14:paraId="49CA7C5E" w14:textId="77777777" w:rsidR="00CA751A" w:rsidRDefault="00CA751A" w:rsidP="00CA751A">
      <w:pPr>
        <w:pStyle w:val="ListParagraph"/>
        <w:bidi/>
        <w:ind w:left="644"/>
        <w:rPr>
          <w:rFonts w:ascii="Calibri" w:eastAsia="Times New Roman" w:hAnsi="Calibri"/>
          <w:sz w:val="24"/>
        </w:rPr>
      </w:pPr>
    </w:p>
    <w:p w14:paraId="1EAE79DA" w14:textId="360ED91A" w:rsidR="00955F91" w:rsidRPr="00791879" w:rsidRDefault="00791879" w:rsidP="001A398C">
      <w:pPr>
        <w:pStyle w:val="ListParagraph"/>
        <w:bidi/>
        <w:ind w:left="644"/>
        <w:rPr>
          <w:rFonts w:ascii="Calibri" w:eastAsia="Times New Roman" w:hAnsi="Calibri"/>
          <w:sz w:val="24"/>
          <w:rtl/>
        </w:rPr>
      </w:pPr>
      <w:r w:rsidRPr="00791879">
        <w:rPr>
          <w:rFonts w:ascii="Calibri" w:eastAsia="Times New Roman" w:hAnsi="Calibri" w:hint="cs"/>
          <w:sz w:val="24"/>
          <w:rtl/>
        </w:rPr>
        <w:t>לימוד מקורות</w:t>
      </w:r>
    </w:p>
    <w:p w14:paraId="1EAE79DB" w14:textId="77777777" w:rsidR="008B5448" w:rsidRDefault="008B5448" w:rsidP="008B5448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DC" w14:textId="77777777" w:rsidR="00A15D49" w:rsidRDefault="00A15D49" w:rsidP="00A15D4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E1" w14:textId="77777777" w:rsidR="00A15D49" w:rsidRDefault="00A15D49" w:rsidP="00A15D4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E2" w14:textId="34D47EBD" w:rsidR="001828C9" w:rsidRPr="002844C6" w:rsidRDefault="000133D0" w:rsidP="002844C6">
      <w:pPr>
        <w:bidi/>
        <w:rPr>
          <w:rFonts w:ascii="Calibri" w:eastAsia="Times New Roman" w:hAnsi="Calibri"/>
          <w:b/>
          <w:bCs/>
          <w:sz w:val="24"/>
          <w:rtl/>
        </w:rPr>
      </w:pPr>
      <w:bookmarkStart w:id="1" w:name="_Hlk166646"/>
      <w:r>
        <w:rPr>
          <w:rFonts w:ascii="Calibri" w:eastAsia="Times New Roman" w:hAnsi="Calibri" w:hint="cs"/>
          <w:b/>
          <w:bCs/>
          <w:sz w:val="24"/>
          <w:rtl/>
        </w:rPr>
        <w:t>29.6.2020</w:t>
      </w:r>
    </w:p>
    <w:bookmarkEnd w:id="1"/>
    <w:p w14:paraId="1EAE79E3" w14:textId="77777777" w:rsidR="001828C9" w:rsidRPr="001828C9" w:rsidRDefault="001828C9" w:rsidP="001828C9">
      <w:pPr>
        <w:bidi/>
        <w:rPr>
          <w:rFonts w:ascii="Calibri" w:eastAsia="Times New Roman" w:hAnsi="Calibri"/>
          <w:b/>
          <w:bCs/>
          <w:sz w:val="24"/>
          <w:rtl/>
        </w:rPr>
      </w:pPr>
      <w:r w:rsidRPr="001828C9">
        <w:rPr>
          <w:rFonts w:ascii="Calibri" w:eastAsia="Times New Roman" w:hAnsi="Calibri" w:hint="cs"/>
          <w:b/>
          <w:bCs/>
          <w:sz w:val="24"/>
          <w:rtl/>
        </w:rPr>
        <w:t>סיכום</w:t>
      </w:r>
    </w:p>
    <w:p w14:paraId="1EAE79E4" w14:textId="77777777" w:rsidR="001828C9" w:rsidRPr="001828C9" w:rsidRDefault="001828C9" w:rsidP="001828C9">
      <w:pPr>
        <w:bidi/>
        <w:rPr>
          <w:rFonts w:ascii="Calibri" w:eastAsia="Times New Roman" w:hAnsi="Calibri"/>
          <w:b/>
          <w:bCs/>
          <w:sz w:val="24"/>
          <w:rtl/>
        </w:rPr>
      </w:pPr>
    </w:p>
    <w:p w14:paraId="1EAE79E5" w14:textId="77777777" w:rsidR="001828C9" w:rsidRPr="006C4541" w:rsidRDefault="001828C9" w:rsidP="00A05D5E">
      <w:pPr>
        <w:pStyle w:val="ListParagraph"/>
        <w:numPr>
          <w:ilvl w:val="0"/>
          <w:numId w:val="10"/>
        </w:numPr>
        <w:bidi/>
        <w:spacing w:after="200" w:line="276" w:lineRule="auto"/>
        <w:jc w:val="left"/>
        <w:rPr>
          <w:rFonts w:ascii="Calibri" w:eastAsia="Times New Roman" w:hAnsi="Calibri"/>
          <w:sz w:val="24"/>
          <w:rtl/>
        </w:rPr>
      </w:pPr>
      <w:r w:rsidRPr="006C4541">
        <w:rPr>
          <w:rFonts w:ascii="Calibri" w:eastAsia="Times New Roman" w:hAnsi="Calibri" w:hint="cs"/>
          <w:sz w:val="24"/>
          <w:rtl/>
        </w:rPr>
        <w:t xml:space="preserve">רונית עיר-שי ותניא ציון וולדוקס: "הפמיניזם האורתודוכסי </w:t>
      </w:r>
      <w:r w:rsidRPr="006C4541">
        <w:rPr>
          <w:rFonts w:ascii="Calibri" w:eastAsia="Times New Roman" w:hAnsi="Calibri"/>
          <w:sz w:val="24"/>
          <w:rtl/>
        </w:rPr>
        <w:t>–</w:t>
      </w:r>
      <w:r w:rsidRPr="006C4541">
        <w:rPr>
          <w:rFonts w:ascii="Calibri" w:eastAsia="Times New Roman" w:hAnsi="Calibri" w:hint="cs"/>
          <w:sz w:val="24"/>
          <w:rtl/>
        </w:rPr>
        <w:t xml:space="preserve"> בין נומוס לנראטיב", </w:t>
      </w:r>
      <w:r w:rsidRPr="006C4541">
        <w:rPr>
          <w:rFonts w:ascii="Calibri" w:eastAsia="Times New Roman" w:hAnsi="Calibri" w:hint="cs"/>
          <w:i/>
          <w:iCs/>
          <w:sz w:val="24"/>
          <w:rtl/>
        </w:rPr>
        <w:t>משפט וממשל</w:t>
      </w:r>
      <w:r w:rsidRPr="006C4541">
        <w:rPr>
          <w:rFonts w:ascii="Calibri" w:eastAsia="Times New Roman" w:hAnsi="Calibri" w:hint="cs"/>
          <w:sz w:val="24"/>
          <w:rtl/>
        </w:rPr>
        <w:t>, טו (1-2), תשע"ג, 233-327</w:t>
      </w:r>
    </w:p>
    <w:p w14:paraId="1EAE79E6" w14:textId="77777777" w:rsidR="001828C9" w:rsidRPr="001828C9" w:rsidRDefault="001828C9" w:rsidP="001828C9">
      <w:pPr>
        <w:bidi/>
        <w:rPr>
          <w:rtl/>
        </w:rPr>
      </w:pPr>
    </w:p>
    <w:p w14:paraId="1EAE79E7" w14:textId="77777777" w:rsidR="001828C9" w:rsidRDefault="001828C9" w:rsidP="001828C9">
      <w:pPr>
        <w:bidi/>
        <w:spacing w:line="360" w:lineRule="auto"/>
        <w:rPr>
          <w:rFonts w:eastAsiaTheme="minorEastAsia"/>
          <w:b/>
          <w:bCs/>
          <w:sz w:val="24"/>
          <w:rtl/>
        </w:rPr>
      </w:pPr>
    </w:p>
    <w:sectPr w:rsidR="001828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B9D0" w14:textId="77777777" w:rsidR="002278A6" w:rsidRDefault="002278A6">
      <w:r>
        <w:separator/>
      </w:r>
    </w:p>
  </w:endnote>
  <w:endnote w:type="continuationSeparator" w:id="0">
    <w:p w14:paraId="13B366DF" w14:textId="77777777" w:rsidR="002278A6" w:rsidRDefault="0022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79EE" w14:textId="77777777" w:rsidR="00E07599" w:rsidRDefault="0022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79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E79EF" w14:textId="77777777" w:rsidR="00E07599" w:rsidRDefault="00085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5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AE79F0" w14:textId="77777777" w:rsidR="00E07599" w:rsidRDefault="00227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79F2" w14:textId="77777777" w:rsidR="00E07599" w:rsidRDefault="0022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F63D" w14:textId="77777777" w:rsidR="002278A6" w:rsidRDefault="002278A6">
      <w:r>
        <w:separator/>
      </w:r>
    </w:p>
  </w:footnote>
  <w:footnote w:type="continuationSeparator" w:id="0">
    <w:p w14:paraId="36EEC678" w14:textId="77777777" w:rsidR="002278A6" w:rsidRDefault="0022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79EC" w14:textId="77777777" w:rsidR="00E07599" w:rsidRDefault="00227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79ED" w14:textId="77777777" w:rsidR="00E07599" w:rsidRDefault="00227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79F1" w14:textId="77777777" w:rsidR="00E07599" w:rsidRDefault="0022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C10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6D7"/>
    <w:multiLevelType w:val="hybridMultilevel"/>
    <w:tmpl w:val="A9DAB9F2"/>
    <w:lvl w:ilvl="0" w:tplc="10945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2A6"/>
    <w:multiLevelType w:val="hybridMultilevel"/>
    <w:tmpl w:val="45984D7A"/>
    <w:lvl w:ilvl="0" w:tplc="36C6CD8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84D69E6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355B"/>
    <w:multiLevelType w:val="hybridMultilevel"/>
    <w:tmpl w:val="045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2E1B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29C"/>
    <w:multiLevelType w:val="hybridMultilevel"/>
    <w:tmpl w:val="91BC7AAE"/>
    <w:lvl w:ilvl="0" w:tplc="8C562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400F"/>
    <w:multiLevelType w:val="hybridMultilevel"/>
    <w:tmpl w:val="D6202DEE"/>
    <w:lvl w:ilvl="0" w:tplc="67045D20">
      <w:start w:val="13"/>
      <w:numFmt w:val="decimal"/>
      <w:lvlText w:val="%1."/>
      <w:lvlJc w:val="left"/>
      <w:pPr>
        <w:ind w:left="720" w:hanging="360"/>
      </w:pPr>
      <w:rPr>
        <w:rFonts w:asciiTheme="majorBidi" w:hAnsiTheme="majorBidi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C65FF"/>
    <w:multiLevelType w:val="hybridMultilevel"/>
    <w:tmpl w:val="A4249658"/>
    <w:lvl w:ilvl="0" w:tplc="566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4209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06C7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47C0"/>
    <w:multiLevelType w:val="hybridMultilevel"/>
    <w:tmpl w:val="7E446292"/>
    <w:lvl w:ilvl="0" w:tplc="8C562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2287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2AD9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6FF8"/>
    <w:multiLevelType w:val="hybridMultilevel"/>
    <w:tmpl w:val="DF9AB648"/>
    <w:lvl w:ilvl="0" w:tplc="8C562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2AC"/>
    <w:multiLevelType w:val="hybridMultilevel"/>
    <w:tmpl w:val="A17E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F4CC4"/>
    <w:multiLevelType w:val="hybridMultilevel"/>
    <w:tmpl w:val="A9DAB9F2"/>
    <w:lvl w:ilvl="0" w:tplc="10945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06B"/>
    <w:multiLevelType w:val="hybridMultilevel"/>
    <w:tmpl w:val="A9DAB9F2"/>
    <w:lvl w:ilvl="0" w:tplc="10945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D081C"/>
    <w:multiLevelType w:val="hybridMultilevel"/>
    <w:tmpl w:val="DBF86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768A"/>
    <w:multiLevelType w:val="hybridMultilevel"/>
    <w:tmpl w:val="0074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2653"/>
    <w:multiLevelType w:val="hybridMultilevel"/>
    <w:tmpl w:val="E34EC8C8"/>
    <w:lvl w:ilvl="0" w:tplc="566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75016"/>
    <w:multiLevelType w:val="hybridMultilevel"/>
    <w:tmpl w:val="C756CBC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17"/>
  </w:num>
  <w:num w:numId="6">
    <w:abstractNumId w:val="20"/>
  </w:num>
  <w:num w:numId="7">
    <w:abstractNumId w:val="7"/>
  </w:num>
  <w:num w:numId="8">
    <w:abstractNumId w:val="21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5"/>
  </w:num>
  <w:num w:numId="14">
    <w:abstractNumId w:val="0"/>
  </w:num>
  <w:num w:numId="15">
    <w:abstractNumId w:val="18"/>
  </w:num>
  <w:num w:numId="16">
    <w:abstractNumId w:val="10"/>
  </w:num>
  <w:num w:numId="17">
    <w:abstractNumId w:val="3"/>
  </w:num>
  <w:num w:numId="18">
    <w:abstractNumId w:val="13"/>
  </w:num>
  <w:num w:numId="19">
    <w:abstractNumId w:val="12"/>
  </w:num>
  <w:num w:numId="20">
    <w:abstractNumId w:val="9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4"/>
    <w:rsid w:val="000133D0"/>
    <w:rsid w:val="000163D4"/>
    <w:rsid w:val="00017578"/>
    <w:rsid w:val="00031E4A"/>
    <w:rsid w:val="000420D2"/>
    <w:rsid w:val="0005223E"/>
    <w:rsid w:val="0005670B"/>
    <w:rsid w:val="000613A9"/>
    <w:rsid w:val="00085D59"/>
    <w:rsid w:val="00096E2E"/>
    <w:rsid w:val="000A1F5E"/>
    <w:rsid w:val="000A2C68"/>
    <w:rsid w:val="000C772A"/>
    <w:rsid w:val="000D5C6C"/>
    <w:rsid w:val="000D72AD"/>
    <w:rsid w:val="000E34D6"/>
    <w:rsid w:val="000F7A72"/>
    <w:rsid w:val="0011429E"/>
    <w:rsid w:val="001210F1"/>
    <w:rsid w:val="00121B53"/>
    <w:rsid w:val="00123314"/>
    <w:rsid w:val="00127728"/>
    <w:rsid w:val="00131BC2"/>
    <w:rsid w:val="00140800"/>
    <w:rsid w:val="001462D6"/>
    <w:rsid w:val="001470A6"/>
    <w:rsid w:val="00150329"/>
    <w:rsid w:val="00160787"/>
    <w:rsid w:val="00174A87"/>
    <w:rsid w:val="001828C9"/>
    <w:rsid w:val="001A398C"/>
    <w:rsid w:val="001C26FF"/>
    <w:rsid w:val="001C66D2"/>
    <w:rsid w:val="001E6335"/>
    <w:rsid w:val="001F4BFD"/>
    <w:rsid w:val="00226C37"/>
    <w:rsid w:val="002278A6"/>
    <w:rsid w:val="002529B4"/>
    <w:rsid w:val="002532F4"/>
    <w:rsid w:val="00253E87"/>
    <w:rsid w:val="002844C6"/>
    <w:rsid w:val="00290D8A"/>
    <w:rsid w:val="002960C6"/>
    <w:rsid w:val="002C16AD"/>
    <w:rsid w:val="002E1AC8"/>
    <w:rsid w:val="002E48EC"/>
    <w:rsid w:val="0030221A"/>
    <w:rsid w:val="00316464"/>
    <w:rsid w:val="00317083"/>
    <w:rsid w:val="0033648C"/>
    <w:rsid w:val="00361A1F"/>
    <w:rsid w:val="00375A31"/>
    <w:rsid w:val="00390B6E"/>
    <w:rsid w:val="003975C0"/>
    <w:rsid w:val="003B1A26"/>
    <w:rsid w:val="003C16A5"/>
    <w:rsid w:val="003C1A58"/>
    <w:rsid w:val="003C72FD"/>
    <w:rsid w:val="003F1F1A"/>
    <w:rsid w:val="003F6CE9"/>
    <w:rsid w:val="00433216"/>
    <w:rsid w:val="00435FE7"/>
    <w:rsid w:val="00466EB6"/>
    <w:rsid w:val="004B6130"/>
    <w:rsid w:val="004E125A"/>
    <w:rsid w:val="004E154E"/>
    <w:rsid w:val="004F1140"/>
    <w:rsid w:val="00503A14"/>
    <w:rsid w:val="00514A73"/>
    <w:rsid w:val="00555D6E"/>
    <w:rsid w:val="005737AA"/>
    <w:rsid w:val="00575720"/>
    <w:rsid w:val="005D77B1"/>
    <w:rsid w:val="005F2DAB"/>
    <w:rsid w:val="00620BE0"/>
    <w:rsid w:val="00645A5B"/>
    <w:rsid w:val="00664407"/>
    <w:rsid w:val="006645C6"/>
    <w:rsid w:val="006666DA"/>
    <w:rsid w:val="00672510"/>
    <w:rsid w:val="00673EFC"/>
    <w:rsid w:val="00680EC9"/>
    <w:rsid w:val="006A679E"/>
    <w:rsid w:val="006B6609"/>
    <w:rsid w:val="006C4541"/>
    <w:rsid w:val="006C64E9"/>
    <w:rsid w:val="006C77AF"/>
    <w:rsid w:val="006C7FE2"/>
    <w:rsid w:val="006D0CB3"/>
    <w:rsid w:val="006D14E1"/>
    <w:rsid w:val="006D4EB7"/>
    <w:rsid w:val="006F6CDA"/>
    <w:rsid w:val="00714F84"/>
    <w:rsid w:val="00716EC3"/>
    <w:rsid w:val="00725A4C"/>
    <w:rsid w:val="007424D7"/>
    <w:rsid w:val="00764348"/>
    <w:rsid w:val="00774B4D"/>
    <w:rsid w:val="00791879"/>
    <w:rsid w:val="007C78CA"/>
    <w:rsid w:val="007D730D"/>
    <w:rsid w:val="007E55D9"/>
    <w:rsid w:val="007F432E"/>
    <w:rsid w:val="00800629"/>
    <w:rsid w:val="00805483"/>
    <w:rsid w:val="00831EFB"/>
    <w:rsid w:val="00844245"/>
    <w:rsid w:val="00844CB5"/>
    <w:rsid w:val="008632FC"/>
    <w:rsid w:val="008744D7"/>
    <w:rsid w:val="00894191"/>
    <w:rsid w:val="008A238B"/>
    <w:rsid w:val="008B5448"/>
    <w:rsid w:val="008C4A65"/>
    <w:rsid w:val="008F5FE8"/>
    <w:rsid w:val="0090316C"/>
    <w:rsid w:val="00903D43"/>
    <w:rsid w:val="00904B3A"/>
    <w:rsid w:val="00955F91"/>
    <w:rsid w:val="009757A8"/>
    <w:rsid w:val="009918A7"/>
    <w:rsid w:val="009A0D37"/>
    <w:rsid w:val="009C02CC"/>
    <w:rsid w:val="009C7314"/>
    <w:rsid w:val="009D562B"/>
    <w:rsid w:val="00A02F02"/>
    <w:rsid w:val="00A05D5E"/>
    <w:rsid w:val="00A14BAD"/>
    <w:rsid w:val="00A15D49"/>
    <w:rsid w:val="00A41429"/>
    <w:rsid w:val="00A559A9"/>
    <w:rsid w:val="00A91873"/>
    <w:rsid w:val="00AB4A33"/>
    <w:rsid w:val="00AD3D6A"/>
    <w:rsid w:val="00AE1F8F"/>
    <w:rsid w:val="00AE4B0B"/>
    <w:rsid w:val="00AE709D"/>
    <w:rsid w:val="00B22210"/>
    <w:rsid w:val="00B33EAA"/>
    <w:rsid w:val="00B846DA"/>
    <w:rsid w:val="00BC0B62"/>
    <w:rsid w:val="00BC1D0A"/>
    <w:rsid w:val="00BD4FAC"/>
    <w:rsid w:val="00BF78E4"/>
    <w:rsid w:val="00C20042"/>
    <w:rsid w:val="00C26182"/>
    <w:rsid w:val="00C67D53"/>
    <w:rsid w:val="00C72E4E"/>
    <w:rsid w:val="00C84344"/>
    <w:rsid w:val="00C85463"/>
    <w:rsid w:val="00CA751A"/>
    <w:rsid w:val="00CB3B58"/>
    <w:rsid w:val="00CB70D8"/>
    <w:rsid w:val="00CC3ED1"/>
    <w:rsid w:val="00CD6E54"/>
    <w:rsid w:val="00D14D98"/>
    <w:rsid w:val="00D243C3"/>
    <w:rsid w:val="00D70F00"/>
    <w:rsid w:val="00D71051"/>
    <w:rsid w:val="00D73104"/>
    <w:rsid w:val="00D83745"/>
    <w:rsid w:val="00D8741D"/>
    <w:rsid w:val="00D94BA0"/>
    <w:rsid w:val="00D95F84"/>
    <w:rsid w:val="00DA4418"/>
    <w:rsid w:val="00DB47F6"/>
    <w:rsid w:val="00DB71A3"/>
    <w:rsid w:val="00DD1C23"/>
    <w:rsid w:val="00DE27EB"/>
    <w:rsid w:val="00DE363C"/>
    <w:rsid w:val="00E00FCC"/>
    <w:rsid w:val="00E0188E"/>
    <w:rsid w:val="00E2446A"/>
    <w:rsid w:val="00E26839"/>
    <w:rsid w:val="00E42ABF"/>
    <w:rsid w:val="00E436E9"/>
    <w:rsid w:val="00E56BFF"/>
    <w:rsid w:val="00EA22FE"/>
    <w:rsid w:val="00EA68E6"/>
    <w:rsid w:val="00EA69E4"/>
    <w:rsid w:val="00EB0CE6"/>
    <w:rsid w:val="00EC083B"/>
    <w:rsid w:val="00ED2BCD"/>
    <w:rsid w:val="00F10807"/>
    <w:rsid w:val="00F21190"/>
    <w:rsid w:val="00F33892"/>
    <w:rsid w:val="00F46D7F"/>
    <w:rsid w:val="00F533ED"/>
    <w:rsid w:val="00F61526"/>
    <w:rsid w:val="00F64D51"/>
    <w:rsid w:val="00F7450D"/>
    <w:rsid w:val="00F86313"/>
    <w:rsid w:val="00F86CAB"/>
    <w:rsid w:val="00F9632F"/>
    <w:rsid w:val="00FB470D"/>
    <w:rsid w:val="00FC5D56"/>
    <w:rsid w:val="00FE6F06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795C"/>
  <w15:docId w15:val="{9AFCFEC4-6972-420E-A25C-66EBBEB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F91"/>
    <w:pPr>
      <w:spacing w:line="240" w:lineRule="auto"/>
      <w:ind w:firstLine="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63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3D4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63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3D4"/>
    <w:rPr>
      <w:rFonts w:cs="David"/>
      <w:szCs w:val="24"/>
    </w:rPr>
  </w:style>
  <w:style w:type="paragraph" w:styleId="ListParagraph">
    <w:name w:val="List Paragraph"/>
    <w:basedOn w:val="Normal"/>
    <w:uiPriority w:val="34"/>
    <w:qFormat/>
    <w:rsid w:val="007E5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25A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25A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shay@netvision.net.i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E3B3D5F50034DB45D2649FEF26BCC" ma:contentTypeVersion="10" ma:contentTypeDescription="Create a new document." ma:contentTypeScope="" ma:versionID="f74a4b4b7fcf478b6889741615e8356c">
  <xsd:schema xmlns:xsd="http://www.w3.org/2001/XMLSchema" xmlns:xs="http://www.w3.org/2001/XMLSchema" xmlns:p="http://schemas.microsoft.com/office/2006/metadata/properties" xmlns:ns3="c56d1cfc-618d-47ff-9e81-8988b52fb3bb" targetNamespace="http://schemas.microsoft.com/office/2006/metadata/properties" ma:root="true" ma:fieldsID="b2ef9e0e829e868a73338876c5ac1b80" ns3:_="">
    <xsd:import namespace="c56d1cfc-618d-47ff-9e81-8988b52fb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1cfc-618d-47ff-9e81-8988b52fb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29F7-4912-4728-8070-1D00DCE8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d1cfc-618d-47ff-9e81-8988b52fb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C8A31-2C86-4602-B04C-24A3A27A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08BDE-6A02-483C-B118-FD7BB7C7C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BEDDDE-20CA-4F05-ADEB-A4873DAF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Irshay</dc:creator>
  <cp:lastModifiedBy>Ronit Irshai</cp:lastModifiedBy>
  <cp:revision>64</cp:revision>
  <cp:lastPrinted>2019-03-03T16:36:00Z</cp:lastPrinted>
  <dcterms:created xsi:type="dcterms:W3CDTF">2020-01-27T11:54:00Z</dcterms:created>
  <dcterms:modified xsi:type="dcterms:W3CDTF">2020-02-03T10:14:00Z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0x0101001B9E3B3D5F50034DB45D2649FEF26BCC</vt:lpwstr>
  </property>
</Properties>
</file>