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7B25" w14:textId="653FC680" w:rsidR="003A6585" w:rsidRPr="0045242E" w:rsidRDefault="00524EEB" w:rsidP="00813DD2">
      <w:pPr>
        <w:bidi/>
        <w:spacing w:after="0" w:line="360" w:lineRule="auto"/>
        <w:ind w:left="5958"/>
        <w:jc w:val="right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</w:pPr>
      <w:r>
        <w:rPr>
          <w:rFonts w:ascii="Calibri" w:eastAsia="Times New Roman" w:hAnsi="Calibri" w:cs="Calibri" w:hint="cs"/>
          <w:bCs/>
          <w:color w:val="1F3864" w:themeColor="accent1" w:themeShade="80"/>
          <w:sz w:val="24"/>
          <w:szCs w:val="24"/>
          <w:rtl/>
          <w:lang w:bidi="he-IL"/>
        </w:rPr>
        <w:t>ספטמבר 2022</w:t>
      </w:r>
    </w:p>
    <w:p w14:paraId="3B057E77" w14:textId="5D4D9BF4" w:rsidR="00813DD2" w:rsidRPr="0045242E" w:rsidRDefault="00813DD2" w:rsidP="00813DD2">
      <w:pPr>
        <w:bidi/>
        <w:spacing w:after="0" w:line="360" w:lineRule="auto"/>
        <w:ind w:left="5958"/>
        <w:jc w:val="right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  <w:t>אלול תשפ"</w:t>
      </w:r>
      <w:r w:rsidR="00524EEB">
        <w:rPr>
          <w:rFonts w:ascii="Calibri" w:eastAsia="Times New Roman" w:hAnsi="Calibri" w:cs="Calibri" w:hint="cs"/>
          <w:bCs/>
          <w:color w:val="1F3864" w:themeColor="accent1" w:themeShade="80"/>
          <w:sz w:val="24"/>
          <w:szCs w:val="24"/>
          <w:rtl/>
          <w:lang w:bidi="he-IL"/>
        </w:rPr>
        <w:t>ב</w:t>
      </w:r>
    </w:p>
    <w:p w14:paraId="4C3286CC" w14:textId="488C27FF" w:rsidR="003A6585" w:rsidRPr="0045242E" w:rsidRDefault="003A6585" w:rsidP="003A6585">
      <w:pPr>
        <w:bidi/>
        <w:spacing w:after="0" w:line="360" w:lineRule="auto"/>
        <w:jc w:val="center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  <w:t>סדנ</w:t>
      </w:r>
      <w:r w:rsidR="007F31F5" w:rsidRPr="0045242E"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  <w:t>ת גיבוש פרויקטים למסלול מגדר בשטח</w:t>
      </w:r>
    </w:p>
    <w:p w14:paraId="043EEA4D" w14:textId="0B20097E" w:rsidR="003A6585" w:rsidRPr="0045242E" w:rsidRDefault="003A6585" w:rsidP="00E13FAA">
      <w:pPr>
        <w:spacing w:after="0" w:line="360" w:lineRule="auto"/>
        <w:jc w:val="center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  <w:t xml:space="preserve">מספר קורס: </w:t>
      </w:r>
    </w:p>
    <w:p w14:paraId="7CAF4118" w14:textId="40E65C27" w:rsidR="003A6585" w:rsidRPr="0045242E" w:rsidRDefault="003A6585" w:rsidP="003A6585">
      <w:pPr>
        <w:bidi/>
        <w:spacing w:after="0" w:line="360" w:lineRule="auto"/>
        <w:jc w:val="center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  <w:t xml:space="preserve">ד"ר </w:t>
      </w:r>
      <w:r w:rsidR="0045242E">
        <w:rPr>
          <w:rFonts w:ascii="Calibri" w:eastAsia="Times New Roman" w:hAnsi="Calibri" w:cs="Calibri" w:hint="cs"/>
          <w:bCs/>
          <w:color w:val="1F3864" w:themeColor="accent1" w:themeShade="80"/>
          <w:sz w:val="24"/>
          <w:szCs w:val="24"/>
          <w:rtl/>
          <w:lang w:bidi="he-IL"/>
        </w:rPr>
        <w:t xml:space="preserve">גלי </w:t>
      </w:r>
      <w:proofErr w:type="spellStart"/>
      <w:r w:rsidR="0045242E">
        <w:rPr>
          <w:rFonts w:ascii="Calibri" w:eastAsia="Times New Roman" w:hAnsi="Calibri" w:cs="Calibri" w:hint="cs"/>
          <w:bCs/>
          <w:color w:val="1F3864" w:themeColor="accent1" w:themeShade="80"/>
          <w:sz w:val="24"/>
          <w:szCs w:val="24"/>
          <w:rtl/>
          <w:lang w:bidi="he-IL"/>
        </w:rPr>
        <w:t>סמבירא</w:t>
      </w:r>
      <w:proofErr w:type="spellEnd"/>
    </w:p>
    <w:p w14:paraId="6A612D9A" w14:textId="37FEF8FC" w:rsidR="003A6585" w:rsidRPr="0045242E" w:rsidRDefault="00000000" w:rsidP="003A6585">
      <w:pPr>
        <w:bidi/>
        <w:spacing w:after="0" w:line="360" w:lineRule="auto"/>
        <w:jc w:val="center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u w:val="single"/>
          <w:lang w:bidi="he-IL"/>
        </w:rPr>
      </w:pPr>
      <w:hyperlink r:id="rId7" w:history="1">
        <w:r w:rsidR="003B4626" w:rsidRPr="001C608E">
          <w:rPr>
            <w:rStyle w:val="Hyperlink"/>
            <w:rFonts w:ascii="Calibri" w:eastAsia="Times New Roman" w:hAnsi="Calibri" w:cs="Calibri"/>
            <w:bCs/>
            <w:color w:val="023160" w:themeColor="hyperlink" w:themeShade="80"/>
            <w:sz w:val="24"/>
            <w:szCs w:val="24"/>
            <w:lang w:bidi="he-IL"/>
          </w:rPr>
          <w:t>galisembira@gmail.com</w:t>
        </w:r>
      </w:hyperlink>
    </w:p>
    <w:p w14:paraId="69228EF3" w14:textId="77777777" w:rsidR="00CC6B6D" w:rsidRPr="0045242E" w:rsidRDefault="00CC6B6D" w:rsidP="00CC6B6D">
      <w:pPr>
        <w:bidi/>
        <w:spacing w:after="0" w:line="360" w:lineRule="auto"/>
        <w:jc w:val="center"/>
        <w:rPr>
          <w:rFonts w:ascii="Calibri" w:eastAsia="Times New Roman" w:hAnsi="Calibri" w:cs="Calibri" w:hint="cs"/>
          <w:bCs/>
          <w:color w:val="1F3864" w:themeColor="accent1" w:themeShade="80"/>
          <w:sz w:val="24"/>
          <w:szCs w:val="24"/>
          <w:lang w:bidi="he-IL"/>
        </w:rPr>
      </w:pPr>
    </w:p>
    <w:p w14:paraId="2D1F5EC3" w14:textId="5D4D7A0E" w:rsidR="003A6585" w:rsidRPr="0045242E" w:rsidRDefault="003A6585" w:rsidP="003A6585">
      <w:pPr>
        <w:bidi/>
        <w:spacing w:after="0" w:line="360" w:lineRule="auto"/>
        <w:jc w:val="center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סוג הקורס: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(סדנה)</w:t>
      </w:r>
    </w:p>
    <w:p w14:paraId="2783354F" w14:textId="3B972D01" w:rsidR="003A6585" w:rsidRPr="0045242E" w:rsidRDefault="003A6585" w:rsidP="003A6585">
      <w:pPr>
        <w:bidi/>
        <w:spacing w:after="0" w:line="360" w:lineRule="auto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שנת לימודים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: תש</w:t>
      </w:r>
      <w:r w:rsidR="00011B61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פ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"</w:t>
      </w:r>
      <w:r w:rsidR="003B4626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ב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           </w:t>
      </w: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סמסטר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: ב'               </w:t>
      </w: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היקף שעות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:  </w:t>
      </w:r>
      <w:r w:rsidR="00011B61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1</w:t>
      </w:r>
    </w:p>
    <w:p w14:paraId="0A25E66A" w14:textId="77777777" w:rsidR="003A6585" w:rsidRPr="0045242E" w:rsidRDefault="003A6585" w:rsidP="003A6585">
      <w:pPr>
        <w:bidi/>
        <w:spacing w:after="0" w:line="360" w:lineRule="auto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6B052DDF" w14:textId="369C12C9" w:rsidR="003A6585" w:rsidRPr="0045242E" w:rsidRDefault="003A6585" w:rsidP="003A6585">
      <w:pPr>
        <w:numPr>
          <w:ilvl w:val="0"/>
          <w:numId w:val="2"/>
        </w:numPr>
        <w:bidi/>
        <w:spacing w:after="0" w:line="360" w:lineRule="auto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מטרות הקורס ותוצרי למידה:</w:t>
      </w:r>
    </w:p>
    <w:p w14:paraId="0389B0CA" w14:textId="6A4D80A7" w:rsidR="003921DC" w:rsidRPr="0045242E" w:rsidRDefault="00767A0B" w:rsidP="00352EE3">
      <w:pPr>
        <w:bidi/>
        <w:spacing w:after="0" w:line="276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הסדנה 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היא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מעבדה ל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עיצוב ו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פיתוח</w:t>
      </w:r>
      <w:r w:rsidR="001B24A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פרויקטים אישיים של הסטודנטי</w:t>
      </w:r>
      <w:r w:rsidR="00CA3E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ם/</w:t>
      </w:r>
      <w:proofErr w:type="spellStart"/>
      <w:r w:rsidR="001B24A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ות</w:t>
      </w:r>
      <w:proofErr w:type="spellEnd"/>
      <w:r w:rsidR="001B24A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. לשם כך, הסדנה 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תזמין</w:t>
      </w:r>
      <w:r w:rsidR="001B24A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ל</w:t>
      </w:r>
      <w:r w:rsidR="001B24A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מרחב 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עשייה </w:t>
      </w:r>
      <w:r w:rsidR="001B24A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רפלקטיבי שבתוכו </w:t>
      </w:r>
      <w:r w:rsidR="00B74D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יגבשו הסטודנטי</w:t>
      </w:r>
      <w:r w:rsidR="00CA3E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ם/</w:t>
      </w:r>
      <w:proofErr w:type="spellStart"/>
      <w:r w:rsidR="00B74D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ות</w:t>
      </w:r>
      <w:proofErr w:type="spellEnd"/>
      <w:r w:rsidR="00B74D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, את הרעיונות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 לכדי </w:t>
      </w:r>
      <w:proofErr w:type="spellStart"/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תכניות</w:t>
      </w:r>
      <w:proofErr w:type="spellEnd"/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, ומתוך חשיבה אסטרטגית וראייה רחבה של שדה הפעולה</w:t>
      </w:r>
      <w:r w:rsidR="00B74D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. </w:t>
      </w:r>
    </w:p>
    <w:p w14:paraId="3905C2FF" w14:textId="0D5A7DB2" w:rsidR="003E4196" w:rsidRPr="0045242E" w:rsidRDefault="003E4196" w:rsidP="00352EE3">
      <w:pPr>
        <w:bidi/>
        <w:spacing w:after="0" w:line="276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באמצעות מבט ממוקד על </w:t>
      </w:r>
      <w:r w:rsidR="0050126E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הכאבים, הנכסים התרבותיים, הידע הזהותי, היכולות והקשרים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,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יחד עם בחינת </w:t>
      </w:r>
      <w:r w:rsidR="0050126E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ה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צרכים</w:t>
      </w:r>
      <w:r w:rsidR="0050126E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 והשדה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,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הסטודנטי</w:t>
      </w:r>
      <w:r w:rsidR="00CA3E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ם/</w:t>
      </w:r>
      <w:proofErr w:type="spellStart"/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ות</w:t>
      </w:r>
      <w:proofErr w:type="spellEnd"/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יבחרו במהלך 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הסמסטר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פרויקט </w:t>
      </w:r>
      <w:r w:rsidR="0050126E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לפיתוח ו</w:t>
      </w:r>
      <w:r w:rsidR="00CA3E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ביצוע 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במהלך השנה העוקבת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. הפרויקט ישאף ל</w:t>
      </w:r>
      <w:r w:rsidR="000B16C2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פעול עם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  <w:r w:rsidR="00FE35C3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ומתוך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אוכלוסיות מגוונות (</w:t>
      </w:r>
      <w:r w:rsidR="000B16C2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אנשים עם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מוגבלות, נערות, עולים חדשים, </w:t>
      </w:r>
      <w:r w:rsidR="000B16C2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חברה חרדית, חברה ערבית, יוצאי ברה"מ וכד'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) לעשייה </w:t>
      </w:r>
      <w:r w:rsidR="00CA3E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בתחום המגדר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במטרה ל</w:t>
      </w:r>
      <w:r w:rsidR="00FE35C3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יצור מרחב משותף של ידע תיאורטי, ידע מעשי וידע זהותי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.</w:t>
      </w:r>
    </w:p>
    <w:p w14:paraId="40F74338" w14:textId="7C94AA3D" w:rsidR="00E03D53" w:rsidRPr="0045242E" w:rsidRDefault="00E03D53" w:rsidP="00352EE3">
      <w:pPr>
        <w:bidi/>
        <w:spacing w:after="0" w:line="276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הסדנה</w:t>
      </w:r>
      <w:r w:rsidR="005F6C5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 היא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תהליך הכנה לקורס הסמינריוני "החממה לאקטיביזם פמיניסטי"</w:t>
      </w:r>
      <w:r w:rsidR="00CA53F9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,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המלווה את תהליך היישום של הפרויקטים האקטיביסטים</w:t>
      </w:r>
      <w:r w:rsidR="00B24E77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.</w:t>
      </w:r>
    </w:p>
    <w:p w14:paraId="71885CEF" w14:textId="3041ED7B" w:rsidR="004E3D4E" w:rsidRPr="0045242E" w:rsidRDefault="004E3D4E" w:rsidP="003921DC">
      <w:pPr>
        <w:bidi/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</w:pPr>
    </w:p>
    <w:p w14:paraId="7E50C5FE" w14:textId="32762178" w:rsidR="00B30326" w:rsidRPr="0045242E" w:rsidRDefault="001C5098" w:rsidP="00C93440">
      <w:pPr>
        <w:bidi/>
        <w:spacing w:after="0" w:line="276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כחלק מסדנת השטח יעברו הסטודנטים/</w:t>
      </w:r>
      <w:proofErr w:type="spellStart"/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ות</w:t>
      </w:r>
      <w:proofErr w:type="spellEnd"/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שני ימי </w:t>
      </w:r>
      <w:r w:rsidR="00F74E5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השתלמות </w:t>
      </w:r>
      <w:r w:rsidR="00652FBC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בארגוני שטח. הארגונים ישתנו משנה לשנה</w:t>
      </w:r>
      <w:r w:rsidR="00F74E5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. מטרת ההשתלמות היא יצירת תודעה לאזרחות פעילה ונתינת כלים, דוגמה ומרחב להיות שותפים/</w:t>
      </w:r>
      <w:proofErr w:type="spellStart"/>
      <w:r w:rsidR="00F74E5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ות</w:t>
      </w:r>
      <w:proofErr w:type="spellEnd"/>
      <w:r w:rsidR="00F74E5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בעיצוב המרחב האישי והחברתי גם לאחר סיום הלימודים; הכרות עם היסטוריה של אקטיביזם בתחום המגדר בישראל; ושילוב בין דיון תיאורטי באקטיביזם ועשייה חברתית לבין עשייה והתנסות בשטח.</w:t>
      </w:r>
    </w:p>
    <w:p w14:paraId="227B56A0" w14:textId="77777777" w:rsidR="000E761E" w:rsidRPr="0045242E" w:rsidRDefault="000E761E" w:rsidP="000E761E">
      <w:pPr>
        <w:bidi/>
        <w:spacing w:after="0" w:line="276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31F9E9E9" w14:textId="77777777" w:rsidR="004E3D4E" w:rsidRPr="0045242E" w:rsidRDefault="004E3D4E" w:rsidP="004E3D4E">
      <w:pPr>
        <w:bidi/>
        <w:spacing w:after="0" w:line="360" w:lineRule="auto"/>
        <w:ind w:left="26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ב. תוכן הקורס:</w:t>
      </w:r>
    </w:p>
    <w:p w14:paraId="089E7507" w14:textId="5B8F6A4E" w:rsidR="004E3D4E" w:rsidRPr="0045242E" w:rsidRDefault="004E3D4E" w:rsidP="004E3D4E">
      <w:pPr>
        <w:bidi/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רציונל, נושאים:</w:t>
      </w:r>
    </w:p>
    <w:p w14:paraId="7986FCDC" w14:textId="137138CB" w:rsidR="002A2541" w:rsidRDefault="002A2541" w:rsidP="00333E1A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למידה ותרגול תיאוריה של נקודות מבט כהנעה לפעולה חברתית.</w:t>
      </w:r>
    </w:p>
    <w:p w14:paraId="60ADA6DA" w14:textId="77777777" w:rsidR="00194871" w:rsidRDefault="00194871" w:rsidP="002A2541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רקע </w:t>
      </w:r>
      <w:r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–</w:t>
      </w: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 </w:t>
      </w:r>
    </w:p>
    <w:p w14:paraId="3C6FFB53" w14:textId="63B42B9F" w:rsidR="00194871" w:rsidRDefault="00194871" w:rsidP="00194871">
      <w:pPr>
        <w:numPr>
          <w:ilvl w:val="1"/>
          <w:numId w:val="1"/>
        </w:numPr>
        <w:bidi/>
        <w:spacing w:after="0" w:line="240" w:lineRule="auto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חברה אזרחית, יחסי-ממשלה וחברה אזרחית </w:t>
      </w:r>
    </w:p>
    <w:p w14:paraId="0D031335" w14:textId="6AF688EB" w:rsidR="00194871" w:rsidRDefault="00194871" w:rsidP="00194871">
      <w:pPr>
        <w:numPr>
          <w:ilvl w:val="1"/>
          <w:numId w:val="1"/>
        </w:numPr>
        <w:bidi/>
        <w:spacing w:after="0" w:line="240" w:lineRule="auto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אסטרטגיות להשפעה חברתית, השפעה משותפת ושותפויות.</w:t>
      </w:r>
    </w:p>
    <w:p w14:paraId="2D8FC374" w14:textId="40ADE817" w:rsidR="00194871" w:rsidRDefault="0067420E" w:rsidP="00194871">
      <w:pPr>
        <w:numPr>
          <w:ilvl w:val="1"/>
          <w:numId w:val="1"/>
        </w:numPr>
        <w:bidi/>
        <w:spacing w:after="0" w:line="240" w:lineRule="auto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זהות ותרבות כמנוע להשפעה חברתית</w:t>
      </w:r>
    </w:p>
    <w:p w14:paraId="51455232" w14:textId="3DB8B91F" w:rsidR="00194871" w:rsidRDefault="00194871" w:rsidP="00333E1A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lastRenderedPageBreak/>
        <w:t>מיפוי כוחות ופעולות בשדה, בניית כוח בקבוצה ובשדה.</w:t>
      </w:r>
    </w:p>
    <w:p w14:paraId="01C8C713" w14:textId="30CB47D4" w:rsidR="00956727" w:rsidRDefault="00956727" w:rsidP="00333E1A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עיצוב תיאוריית שינוי</w:t>
      </w:r>
    </w:p>
    <w:p w14:paraId="56C290D0" w14:textId="408193D0" w:rsidR="00956727" w:rsidRDefault="00956727" w:rsidP="00956727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תכנון משתף </w:t>
      </w:r>
      <w:r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–</w:t>
      </w: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 תכנון ויישום מהלך שיתוף בשדה העשייה, פידבק ושיפור תיאוריית השינוי.</w:t>
      </w:r>
    </w:p>
    <w:p w14:paraId="7C40EC74" w14:textId="33B46223" w:rsidR="00A9496A" w:rsidRPr="0045242E" w:rsidRDefault="00A9496A" w:rsidP="00A9496A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למידה מתוך השתלמות בארגונים, השתלבות בעשייה קיימת והובלה של מיזמים חדשים.</w:t>
      </w:r>
    </w:p>
    <w:p w14:paraId="1CDA1464" w14:textId="23DE9D5C" w:rsidR="002D77F6" w:rsidRPr="0045242E" w:rsidRDefault="002D77F6" w:rsidP="002D77F6">
      <w:pPr>
        <w:bidi/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2E478560" w14:textId="4875E4F5" w:rsidR="00FE2C42" w:rsidRPr="00B30180" w:rsidRDefault="00DD30EE" w:rsidP="00B30180">
      <w:pPr>
        <w:bidi/>
        <w:spacing w:after="0" w:line="240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 xml:space="preserve">תכנית הוראה מפורטת לכל השיעורים: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1552"/>
        <w:gridCol w:w="6557"/>
      </w:tblGrid>
      <w:tr w:rsidR="0045242E" w:rsidRPr="0045242E" w14:paraId="243B12D7" w14:textId="77777777" w:rsidTr="00683660">
        <w:tc>
          <w:tcPr>
            <w:tcW w:w="1416" w:type="dxa"/>
          </w:tcPr>
          <w:p w14:paraId="6DDD1923" w14:textId="13A5EA53" w:rsidR="00DD30EE" w:rsidRPr="0045242E" w:rsidRDefault="00DD30EE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מס שיעור</w:t>
            </w:r>
          </w:p>
        </w:tc>
        <w:tc>
          <w:tcPr>
            <w:tcW w:w="1703" w:type="dxa"/>
          </w:tcPr>
          <w:p w14:paraId="561A38CB" w14:textId="0DE3F12B" w:rsidR="00DD30EE" w:rsidRPr="0045242E" w:rsidRDefault="00DD30EE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נושא</w:t>
            </w:r>
          </w:p>
        </w:tc>
        <w:tc>
          <w:tcPr>
            <w:tcW w:w="6231" w:type="dxa"/>
          </w:tcPr>
          <w:p w14:paraId="47019EEF" w14:textId="26BA5C36" w:rsidR="00DD30EE" w:rsidRPr="0045242E" w:rsidRDefault="00DD30EE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קריאה</w:t>
            </w:r>
            <w:r w:rsidR="00AC55B0"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/ נושא ה</w:t>
            </w:r>
            <w:r w:rsidR="00CD2F9A"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סדנה</w:t>
            </w:r>
          </w:p>
        </w:tc>
      </w:tr>
      <w:tr w:rsidR="0045242E" w:rsidRPr="0045242E" w14:paraId="12B9B531" w14:textId="77777777" w:rsidTr="00683660">
        <w:tc>
          <w:tcPr>
            <w:tcW w:w="1416" w:type="dxa"/>
          </w:tcPr>
          <w:p w14:paraId="094E77AF" w14:textId="18F19CDC" w:rsidR="00DD30EE" w:rsidRPr="0045242E" w:rsidRDefault="00B73BFA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1 – 2  - 3 </w:t>
            </w:r>
          </w:p>
        </w:tc>
        <w:tc>
          <w:tcPr>
            <w:tcW w:w="1703" w:type="dxa"/>
          </w:tcPr>
          <w:p w14:paraId="2252232F" w14:textId="4C77FEB6" w:rsidR="00DD30EE" w:rsidRPr="0045242E" w:rsidRDefault="00447B30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היכרות, </w:t>
            </w:r>
            <w:r w:rsidR="00B30180"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נקודות מבט, ידע זהותי, נכסים תרבותיים</w:t>
            </w:r>
          </w:p>
        </w:tc>
        <w:tc>
          <w:tcPr>
            <w:tcW w:w="6231" w:type="dxa"/>
          </w:tcPr>
          <w:p w14:paraId="447ECA20" w14:textId="77777777" w:rsidR="00444086" w:rsidRPr="0045242E" w:rsidRDefault="00444086" w:rsidP="0045259D">
            <w:pPr>
              <w:numPr>
                <w:ilvl w:val="0"/>
                <w:numId w:val="4"/>
              </w:numPr>
              <w:bidi/>
              <w:ind w:left="360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מעיכי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, ח. (2009). הקמת תנועה חברתית. בתוך: אלישבע סדן (עורכת), </w:t>
            </w: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עבודה קהילתית: שיטות לשינוי חברתי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(ע"ע 297-306). תל אביב: קו אדום, הוצאת הקיבוץ המאוחד.</w:t>
            </w:r>
          </w:p>
          <w:p w14:paraId="4F1D0118" w14:textId="77777777" w:rsidR="00444086" w:rsidRPr="0045242E" w:rsidRDefault="00444086" w:rsidP="0045259D">
            <w:pPr>
              <w:numPr>
                <w:ilvl w:val="0"/>
                <w:numId w:val="4"/>
              </w:numPr>
              <w:bidi/>
              <w:ind w:left="360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ברייר-</w:t>
            </w: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גארב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, ר. (2004). תרגיל בהשמדה עצמית: פוליטיקה פמיניסטית באקדמיה, </w:t>
            </w: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תיאוריה וביקורת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, 24, 221-229.</w:t>
            </w:r>
          </w:p>
          <w:p w14:paraId="26BFDCE6" w14:textId="77777777" w:rsidR="00444086" w:rsidRPr="0045242E" w:rsidRDefault="00444086" w:rsidP="0045259D">
            <w:pPr>
              <w:numPr>
                <w:ilvl w:val="0"/>
                <w:numId w:val="4"/>
              </w:numPr>
              <w:bidi/>
              <w:ind w:left="360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פרייזר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נ. (2004). מחלוקה להכרה? דילמות של צדק בעידן ה"פוסט סוציאליסטי". בתוך: ד. </w:t>
            </w: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פילק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וא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. רם (עורכים), </w:t>
            </w: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שלטון ההון: החברה הישראלית בעידן הגלובלי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(עמ' 270 – 297). הוצאת הקיבוץ המאוחד ומכון </w:t>
            </w: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ון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ליר, ירושלים.</w:t>
            </w:r>
          </w:p>
          <w:p w14:paraId="4BE00F90" w14:textId="62E2BAA2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Katz, C. (2003). Social systems: Thinking about society, identity, power and resistance. In: Holloway et al. (eds.),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 xml:space="preserve">Key Concepts in Geography, 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(pp. 249-265) Sage, London.</w:t>
            </w:r>
          </w:p>
          <w:p w14:paraId="6DC1E858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noProof/>
                <w:color w:val="1F3864" w:themeColor="accent1" w:themeShade="80"/>
                <w:sz w:val="24"/>
                <w:szCs w:val="24"/>
              </w:rPr>
              <w:t xml:space="preserve">Leitner, H., Sheppard, E., &amp; Sziarto, K. M. (2008). The spatialities of contentious politics. </w:t>
            </w:r>
            <w:r w:rsidRPr="0045242E">
              <w:rPr>
                <w:rFonts w:ascii="Calibri" w:hAnsi="Calibri" w:cs="Calibri"/>
                <w:i/>
                <w:iCs/>
                <w:noProof/>
                <w:color w:val="1F3864" w:themeColor="accent1" w:themeShade="80"/>
                <w:sz w:val="24"/>
                <w:szCs w:val="24"/>
              </w:rPr>
              <w:t>Transactions of the Institute of British Geographers, 32</w:t>
            </w:r>
            <w:r w:rsidRPr="0045242E">
              <w:rPr>
                <w:rFonts w:ascii="Calibri" w:hAnsi="Calibri" w:cs="Calibri"/>
                <w:noProof/>
                <w:color w:val="1F3864" w:themeColor="accent1" w:themeShade="80"/>
                <w:sz w:val="24"/>
                <w:szCs w:val="24"/>
              </w:rPr>
              <w:t>, 116–125.</w:t>
            </w:r>
          </w:p>
          <w:p w14:paraId="42FB5A6D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Yacobi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, H. (2007). The </w:t>
            </w: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NGOzation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 of space: dilemmas of social change, planning policy, and the Israeli public sphere.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 xml:space="preserve"> Environment and planning D: Society and Space,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 25, 745-758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</w:rPr>
              <w:t>.</w:t>
            </w:r>
          </w:p>
          <w:p w14:paraId="3FC8D526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Jasper, J. M. (2006).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Getting your way: Strategic dilemmas in the real world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. University of Chicago Press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</w:rPr>
              <w:t>.</w:t>
            </w:r>
          </w:p>
          <w:p w14:paraId="16A5EC92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Pile, S. (1997). Introduction: Opposition, political identities and spaces of resistance. In: S. Pile &amp; M. Keith, (eds.),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Geographies of Resistance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 (pp. 1-32). Rutledge, USA and Canada. </w:t>
            </w:r>
          </w:p>
          <w:p w14:paraId="767167BD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Duyvendak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, J. W., &amp; Jasper, J., eds. (2015). P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layers and Arenas: The Interactive Dynamics of Protest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. Amsterdam University Press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</w:rPr>
              <w:t>.</w:t>
            </w:r>
          </w:p>
          <w:p w14:paraId="77A5C188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Kwan, S. (2009). Framing the fat body: Contested meanings between government, activists and industry.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 xml:space="preserve">Sociological Inquiry, 79 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(1), 25-50.</w:t>
            </w:r>
          </w:p>
          <w:p w14:paraId="2CFE729F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Freeman, J. (1972-3). The tyranny of </w:t>
            </w: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structurelessness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, The Women's Liberation Movement.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Berkeley Journal of Sociology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, 17, 151-165.</w:t>
            </w:r>
          </w:p>
          <w:p w14:paraId="48F25A03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  <w:lang w:bidi="he-IL"/>
              </w:rPr>
            </w:pP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Strichman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, N. (2018). Past achievements and future directions of women’s and feminist organizations in Israel. A 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lastRenderedPageBreak/>
              <w:t xml:space="preserve">participatory action research project. </w:t>
            </w:r>
            <w:proofErr w:type="spellStart"/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Dafna</w:t>
            </w:r>
            <w:proofErr w:type="spellEnd"/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 xml:space="preserve"> fund and the National Council of Jewish Women (NCJW)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.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lang w:bidi="he-IL"/>
              </w:rPr>
              <w:t xml:space="preserve"> </w:t>
            </w:r>
          </w:p>
          <w:p w14:paraId="3935DD71" w14:textId="77777777" w:rsidR="00DD30E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Alvarez, S. E. (2009). Beyond NGO-</w:t>
            </w: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ization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? </w:t>
            </w:r>
            <w:proofErr w:type="spellStart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Refelctions</w:t>
            </w:r>
            <w:proofErr w:type="spellEnd"/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 from Latin America.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Dialogue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, 52 (2), 175-184.</w:t>
            </w:r>
          </w:p>
          <w:p w14:paraId="441C74CD" w14:textId="627D0261" w:rsidR="00C43A7B" w:rsidRPr="0045242E" w:rsidRDefault="00000000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hyperlink r:id="rId8" w:history="1">
              <w:proofErr w:type="spellStart"/>
              <w:r w:rsidR="00C43A7B" w:rsidRPr="00BC5DD8">
                <w:rPr>
                  <w:rStyle w:val="Hyperlink"/>
                  <w:rFonts w:hint="cs"/>
                  <w:rtl/>
                </w:rPr>
                <w:t>מכולם</w:t>
              </w:r>
              <w:proofErr w:type="spellEnd"/>
              <w:r w:rsidR="00C43A7B" w:rsidRPr="00BC5DD8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BC5DD8">
                <w:rPr>
                  <w:rStyle w:val="Hyperlink"/>
                  <w:rFonts w:hint="cs"/>
                  <w:rtl/>
                </w:rPr>
                <w:t>מפחדים</w:t>
              </w:r>
              <w:proofErr w:type="spellEnd"/>
              <w:r w:rsidR="00C43A7B" w:rsidRPr="00BC5DD8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BC5DD8">
                <w:rPr>
                  <w:rStyle w:val="Hyperlink"/>
                  <w:rFonts w:hint="cs"/>
                  <w:rtl/>
                </w:rPr>
                <w:t>מכולם</w:t>
              </w:r>
              <w:proofErr w:type="spellEnd"/>
              <w:r w:rsidR="00C43A7B" w:rsidRPr="00BC5DD8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BC5DD8">
                <w:rPr>
                  <w:rStyle w:val="Hyperlink"/>
                  <w:rFonts w:hint="cs"/>
                  <w:rtl/>
                </w:rPr>
                <w:t>לעבר</w:t>
              </w:r>
              <w:proofErr w:type="spellEnd"/>
              <w:r w:rsidR="00C43A7B" w:rsidRPr="00BC5DD8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BC5DD8">
                <w:rPr>
                  <w:rStyle w:val="Hyperlink"/>
                  <w:rFonts w:hint="cs"/>
                  <w:rtl/>
                </w:rPr>
                <w:t>טוב</w:t>
              </w:r>
              <w:proofErr w:type="spellEnd"/>
              <w:r w:rsidR="00C43A7B" w:rsidRPr="00BC5DD8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BC5DD8">
                <w:rPr>
                  <w:rStyle w:val="Hyperlink"/>
                  <w:rFonts w:hint="cs"/>
                  <w:rtl/>
                </w:rPr>
                <w:t>מכל</w:t>
              </w:r>
              <w:proofErr w:type="spellEnd"/>
              <w:r w:rsidR="00C43A7B" w:rsidRPr="00BC5DD8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BC5DD8">
                <w:rPr>
                  <w:rStyle w:val="Hyperlink"/>
                  <w:rFonts w:hint="cs"/>
                  <w:rtl/>
                </w:rPr>
                <w:t>העולמות</w:t>
              </w:r>
              <w:proofErr w:type="spellEnd"/>
            </w:hyperlink>
          </w:p>
        </w:tc>
      </w:tr>
      <w:tr w:rsidR="0045242E" w:rsidRPr="0045242E" w14:paraId="7183EDC7" w14:textId="77777777" w:rsidTr="00447B30">
        <w:tc>
          <w:tcPr>
            <w:tcW w:w="1416" w:type="dxa"/>
          </w:tcPr>
          <w:p w14:paraId="583DE5F1" w14:textId="03F6D97E" w:rsidR="00447B30" w:rsidRPr="0045242E" w:rsidRDefault="00447B30" w:rsidP="00FF35B9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lastRenderedPageBreak/>
              <w:t>4</w:t>
            </w:r>
          </w:p>
        </w:tc>
        <w:tc>
          <w:tcPr>
            <w:tcW w:w="1703" w:type="dxa"/>
          </w:tcPr>
          <w:p w14:paraId="59AB246B" w14:textId="3E7AC2AF" w:rsidR="00447B30" w:rsidRPr="0045242E" w:rsidRDefault="00B216B6" w:rsidP="00FF35B9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חברה אזרחית וממשלה, השפעה חברתית בישראל</w:t>
            </w:r>
          </w:p>
        </w:tc>
        <w:tc>
          <w:tcPr>
            <w:tcW w:w="6231" w:type="dxa"/>
          </w:tcPr>
          <w:p w14:paraId="19B28ACF" w14:textId="427E3E18" w:rsidR="00447B30" w:rsidRPr="0045242E" w:rsidRDefault="00000000" w:rsidP="00B216B6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lang w:bidi="he-IL"/>
              </w:rPr>
            </w:pPr>
            <w:hyperlink r:id="rId9" w:history="1">
              <w:proofErr w:type="spellStart"/>
              <w:r w:rsidR="00C43A7B" w:rsidRPr="003E4960">
                <w:rPr>
                  <w:rStyle w:val="Hyperlink"/>
                  <w:rFonts w:hint="cs"/>
                  <w:rtl/>
                </w:rPr>
                <w:t>ניהול</w:t>
              </w:r>
              <w:proofErr w:type="spellEnd"/>
              <w:r w:rsidR="00C43A7B" w:rsidRPr="003E4960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3E4960">
                <w:rPr>
                  <w:rStyle w:val="Hyperlink"/>
                  <w:rFonts w:hint="cs"/>
                  <w:rtl/>
                </w:rPr>
                <w:t>שותפות</w:t>
              </w:r>
              <w:proofErr w:type="spellEnd"/>
              <w:r w:rsidR="00C43A7B" w:rsidRPr="003E4960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3E4960">
                <w:rPr>
                  <w:rStyle w:val="Hyperlink"/>
                  <w:rFonts w:hint="cs"/>
                  <w:rtl/>
                </w:rPr>
                <w:t>בין</w:t>
              </w:r>
              <w:proofErr w:type="spellEnd"/>
              <w:r w:rsidR="00C43A7B" w:rsidRPr="003E4960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3E4960">
                <w:rPr>
                  <w:rStyle w:val="Hyperlink"/>
                  <w:rFonts w:hint="cs"/>
                  <w:rtl/>
                </w:rPr>
                <w:t>מגזרית</w:t>
              </w:r>
              <w:proofErr w:type="spellEnd"/>
              <w:r w:rsidR="00C43A7B" w:rsidRPr="003E4960">
                <w:rPr>
                  <w:rStyle w:val="Hyperlink"/>
                  <w:rFonts w:hint="cs"/>
                  <w:rtl/>
                </w:rPr>
                <w:t xml:space="preserve"> / </w:t>
              </w:r>
              <w:proofErr w:type="spellStart"/>
              <w:r w:rsidR="00C43A7B" w:rsidRPr="003E4960">
                <w:rPr>
                  <w:rStyle w:val="Hyperlink"/>
                  <w:rFonts w:hint="cs"/>
                  <w:rtl/>
                </w:rPr>
                <w:t>קולקטיב</w:t>
              </w:r>
              <w:proofErr w:type="spellEnd"/>
              <w:r w:rsidR="00C43A7B" w:rsidRPr="003E4960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3E4960">
                <w:rPr>
                  <w:rStyle w:val="Hyperlink"/>
                  <w:rFonts w:hint="cs"/>
                  <w:rtl/>
                </w:rPr>
                <w:t>אימפקט</w:t>
              </w:r>
              <w:proofErr w:type="spellEnd"/>
            </w:hyperlink>
          </w:p>
        </w:tc>
      </w:tr>
      <w:tr w:rsidR="0045242E" w:rsidRPr="0045242E" w14:paraId="7053F9BD" w14:textId="77777777" w:rsidTr="00447B30">
        <w:tc>
          <w:tcPr>
            <w:tcW w:w="1416" w:type="dxa"/>
          </w:tcPr>
          <w:p w14:paraId="269A8E92" w14:textId="60A0B6C7" w:rsidR="000D2206" w:rsidRPr="0045242E" w:rsidRDefault="000D2206" w:rsidP="00FF35B9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5</w:t>
            </w:r>
          </w:p>
        </w:tc>
        <w:tc>
          <w:tcPr>
            <w:tcW w:w="1703" w:type="dxa"/>
          </w:tcPr>
          <w:p w14:paraId="125C38C1" w14:textId="596F6317" w:rsidR="000D2206" w:rsidRPr="0045242E" w:rsidRDefault="000D2206" w:rsidP="00FF35B9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השתלמות</w:t>
            </w:r>
          </w:p>
        </w:tc>
        <w:tc>
          <w:tcPr>
            <w:tcW w:w="6231" w:type="dxa"/>
          </w:tcPr>
          <w:p w14:paraId="76FA030D" w14:textId="3AD531A1" w:rsidR="000D2206" w:rsidRPr="0045242E" w:rsidRDefault="000D2206" w:rsidP="00FF35B9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יום השתלמות</w:t>
            </w:r>
          </w:p>
        </w:tc>
      </w:tr>
      <w:tr w:rsidR="0045242E" w:rsidRPr="0045242E" w14:paraId="30E57738" w14:textId="77777777" w:rsidTr="00683660">
        <w:tc>
          <w:tcPr>
            <w:tcW w:w="1416" w:type="dxa"/>
          </w:tcPr>
          <w:p w14:paraId="516E34E2" w14:textId="61300475" w:rsidR="00DD30EE" w:rsidRPr="0045242E" w:rsidRDefault="000D2206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6-7-8</w:t>
            </w:r>
          </w:p>
          <w:p w14:paraId="04942354" w14:textId="77777777" w:rsidR="00447B30" w:rsidRPr="0045242E" w:rsidRDefault="00447B30" w:rsidP="00447B30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</w:p>
          <w:p w14:paraId="7968CEAC" w14:textId="0BEFAB87" w:rsidR="00447B30" w:rsidRPr="0045242E" w:rsidRDefault="00447B30" w:rsidP="00447B30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3" w:type="dxa"/>
          </w:tcPr>
          <w:p w14:paraId="44CD8D54" w14:textId="186BC264" w:rsidR="00DD30EE" w:rsidRPr="0045242E" w:rsidRDefault="003B406F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בניית רעיונות ומתווה ראשוני לפרויקט</w:t>
            </w:r>
          </w:p>
        </w:tc>
        <w:tc>
          <w:tcPr>
            <w:tcW w:w="6231" w:type="dxa"/>
          </w:tcPr>
          <w:p w14:paraId="69B967B1" w14:textId="77777777" w:rsidR="00C43A7B" w:rsidRDefault="00C43A7B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השפעה חברתית</w:t>
            </w:r>
          </w:p>
          <w:p w14:paraId="02303E89" w14:textId="00E695AE" w:rsidR="00DD30EE" w:rsidRDefault="00B216B6" w:rsidP="00C43A7B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lang w:bidi="he-IL"/>
              </w:rPr>
            </w:pPr>
            <w:r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עיצוב תיאוריית שינוי</w:t>
            </w:r>
            <w:r w:rsidR="00C43A7B"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</w:t>
            </w:r>
            <w:hyperlink r:id="rId10" w:history="1">
              <w:r w:rsidR="00C43A7B" w:rsidRPr="005B753F">
                <w:rPr>
                  <w:rStyle w:val="Hyperlink"/>
                </w:rPr>
                <w:t>http://www.theoryofchange.org/what-is-theory-of-change</w:t>
              </w:r>
              <w:r w:rsidR="00C43A7B" w:rsidRPr="005B753F">
                <w:rPr>
                  <w:rStyle w:val="Hyperlink"/>
                  <w:rFonts w:cs="Arial"/>
                  <w:rtl/>
                </w:rPr>
                <w:t>/</w:t>
              </w:r>
            </w:hyperlink>
          </w:p>
          <w:p w14:paraId="43064AA8" w14:textId="77777777" w:rsidR="00B216B6" w:rsidRDefault="00B216B6" w:rsidP="00B216B6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ניתוח שדה, שחקנים, שותפויות</w:t>
            </w:r>
          </w:p>
          <w:p w14:paraId="7AB0534E" w14:textId="77777777" w:rsidR="00C43A7B" w:rsidRDefault="00000000" w:rsidP="00C43A7B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lang w:bidi="he-IL"/>
              </w:rPr>
            </w:pPr>
            <w:hyperlink r:id="rId11" w:history="1">
              <w:r w:rsidR="00C43A7B" w:rsidRPr="00E222F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Forces for Good</w:t>
              </w:r>
            </w:hyperlink>
          </w:p>
          <w:p w14:paraId="1CB39846" w14:textId="5978C5C7" w:rsidR="00C43A7B" w:rsidRPr="00C43A7B" w:rsidRDefault="00000000" w:rsidP="00C43A7B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hyperlink r:id="rId12" w:history="1">
              <w:proofErr w:type="spellStart"/>
              <w:r w:rsidR="00C43A7B" w:rsidRPr="00C941BD">
                <w:rPr>
                  <w:rStyle w:val="Hyperlink"/>
                  <w:rFonts w:hint="cs"/>
                  <w:rtl/>
                </w:rPr>
                <w:t>במיטבה</w:t>
              </w:r>
              <w:proofErr w:type="spellEnd"/>
              <w:r w:rsidR="00C43A7B" w:rsidRPr="00C941BD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C941BD">
                <w:rPr>
                  <w:rStyle w:val="Hyperlink"/>
                  <w:rFonts w:hint="cs"/>
                  <w:rtl/>
                </w:rPr>
                <w:t>היא</w:t>
              </w:r>
              <w:proofErr w:type="spellEnd"/>
              <w:r w:rsidR="00C43A7B" w:rsidRPr="00C941BD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C941BD">
                <w:rPr>
                  <w:rStyle w:val="Hyperlink"/>
                  <w:rFonts w:hint="cs"/>
                  <w:rtl/>
                </w:rPr>
                <w:t>תהו</w:t>
              </w:r>
              <w:proofErr w:type="spellEnd"/>
              <w:r w:rsidR="00C43A7B" w:rsidRPr="00C941BD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C941BD">
                <w:rPr>
                  <w:rStyle w:val="Hyperlink"/>
                  <w:rFonts w:hint="cs"/>
                  <w:rtl/>
                </w:rPr>
                <w:t>ובהו</w:t>
              </w:r>
              <w:proofErr w:type="spellEnd"/>
              <w:r w:rsidR="00C43A7B" w:rsidRPr="00C941BD">
                <w:rPr>
                  <w:rStyle w:val="Hyperlink"/>
                  <w:rFonts w:hint="cs"/>
                  <w:rtl/>
                </w:rPr>
                <w:t xml:space="preserve"> </w:t>
              </w:r>
              <w:r w:rsidR="00C43A7B" w:rsidRPr="00C941BD">
                <w:rPr>
                  <w:rStyle w:val="Hyperlink"/>
                  <w:rtl/>
                </w:rPr>
                <w:t>–</w:t>
              </w:r>
              <w:r w:rsidR="00C43A7B" w:rsidRPr="00C941BD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C941BD">
                <w:rPr>
                  <w:rStyle w:val="Hyperlink"/>
                  <w:rFonts w:hint="cs"/>
                  <w:rtl/>
                </w:rPr>
                <w:t>חברה</w:t>
              </w:r>
              <w:proofErr w:type="spellEnd"/>
              <w:r w:rsidR="00C43A7B" w:rsidRPr="00C941BD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C941BD">
                <w:rPr>
                  <w:rStyle w:val="Hyperlink"/>
                  <w:rFonts w:hint="cs"/>
                  <w:rtl/>
                </w:rPr>
                <w:t>אזרחית</w:t>
              </w:r>
              <w:proofErr w:type="spellEnd"/>
              <w:r w:rsidR="00C43A7B" w:rsidRPr="00C941BD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C941BD">
                <w:rPr>
                  <w:rStyle w:val="Hyperlink"/>
                  <w:rFonts w:hint="cs"/>
                  <w:rtl/>
                </w:rPr>
                <w:t>ואסטרטגיות</w:t>
              </w:r>
              <w:proofErr w:type="spellEnd"/>
              <w:r w:rsidR="00C43A7B" w:rsidRPr="00C941BD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C43A7B" w:rsidRPr="00C941BD">
                <w:rPr>
                  <w:rStyle w:val="Hyperlink"/>
                  <w:rFonts w:hint="cs"/>
                  <w:rtl/>
                </w:rPr>
                <w:t>חברתיות</w:t>
              </w:r>
              <w:proofErr w:type="spellEnd"/>
            </w:hyperlink>
          </w:p>
        </w:tc>
      </w:tr>
      <w:tr w:rsidR="0045242E" w:rsidRPr="0045242E" w14:paraId="1BD4FB96" w14:textId="77777777" w:rsidTr="00683660">
        <w:tc>
          <w:tcPr>
            <w:tcW w:w="1416" w:type="dxa"/>
          </w:tcPr>
          <w:p w14:paraId="6E1B6540" w14:textId="7D56955E" w:rsidR="00DD30EE" w:rsidRPr="0045242E" w:rsidRDefault="000D2206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9-10</w:t>
            </w:r>
          </w:p>
        </w:tc>
        <w:tc>
          <w:tcPr>
            <w:tcW w:w="1703" w:type="dxa"/>
          </w:tcPr>
          <w:p w14:paraId="2C083426" w14:textId="3ABEC892" w:rsidR="00DD30EE" w:rsidRPr="0045242E" w:rsidRDefault="00447B30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מפגשים עם סטודנטיות שנה ב' ועם בוגרות מסלול השטח</w:t>
            </w:r>
          </w:p>
        </w:tc>
        <w:tc>
          <w:tcPr>
            <w:tcW w:w="6231" w:type="dxa"/>
          </w:tcPr>
          <w:p w14:paraId="36AE5743" w14:textId="77777777" w:rsidR="00DD30EE" w:rsidRDefault="00B216B6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תהליך שיתוף</w:t>
            </w:r>
          </w:p>
          <w:p w14:paraId="51C55EDC" w14:textId="59567330" w:rsidR="00C43A7B" w:rsidRPr="00C43A7B" w:rsidRDefault="00000000" w:rsidP="00C43A7B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hyperlink r:id="rId13" w:history="1">
              <w:r w:rsidR="00C43A7B" w:rsidRPr="00082B5E">
                <w:rPr>
                  <w:rStyle w:val="Hyperlink"/>
                </w:rPr>
                <w:t>https://meyda.education.gov.il/files/PortalBaaluyot/POB/cooperation-insights.pdf</w:t>
              </w:r>
            </w:hyperlink>
          </w:p>
        </w:tc>
      </w:tr>
      <w:tr w:rsidR="0045242E" w:rsidRPr="0045242E" w14:paraId="7CCCF1B6" w14:textId="77777777" w:rsidTr="00683660">
        <w:tc>
          <w:tcPr>
            <w:tcW w:w="1416" w:type="dxa"/>
          </w:tcPr>
          <w:p w14:paraId="54C45EEA" w14:textId="3A3E2159" w:rsidR="00DD30EE" w:rsidRPr="0045242E" w:rsidRDefault="000D2206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11</w:t>
            </w:r>
          </w:p>
        </w:tc>
        <w:tc>
          <w:tcPr>
            <w:tcW w:w="1703" w:type="dxa"/>
          </w:tcPr>
          <w:p w14:paraId="0C7A2468" w14:textId="4A2CA758" w:rsidR="00DD30EE" w:rsidRPr="0045242E" w:rsidRDefault="000D2206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הש</w:t>
            </w:r>
            <w:r w:rsidR="00B216B6"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ת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למות</w:t>
            </w:r>
          </w:p>
        </w:tc>
        <w:tc>
          <w:tcPr>
            <w:tcW w:w="6231" w:type="dxa"/>
          </w:tcPr>
          <w:p w14:paraId="44D364C0" w14:textId="64510AD2" w:rsidR="00DD30EE" w:rsidRPr="0045242E" w:rsidRDefault="00DD30EE" w:rsidP="00DD30EE">
            <w:pPr>
              <w:bidi/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</w:pPr>
          </w:p>
        </w:tc>
      </w:tr>
      <w:tr w:rsidR="00C43A7B" w:rsidRPr="0045242E" w14:paraId="6E44FDCC" w14:textId="77777777" w:rsidTr="00683660">
        <w:tc>
          <w:tcPr>
            <w:tcW w:w="1416" w:type="dxa"/>
          </w:tcPr>
          <w:p w14:paraId="42EE236A" w14:textId="190DAF0D" w:rsidR="00DD30EE" w:rsidRPr="0045242E" w:rsidRDefault="000D2206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12-13</w:t>
            </w:r>
          </w:p>
        </w:tc>
        <w:tc>
          <w:tcPr>
            <w:tcW w:w="1703" w:type="dxa"/>
          </w:tcPr>
          <w:p w14:paraId="44D1755F" w14:textId="25A8C825" w:rsidR="00DD30EE" w:rsidRPr="0045242E" w:rsidRDefault="004E5784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הצגת פרויקטים וסיכום</w:t>
            </w:r>
          </w:p>
        </w:tc>
        <w:tc>
          <w:tcPr>
            <w:tcW w:w="6231" w:type="dxa"/>
          </w:tcPr>
          <w:p w14:paraId="32908B83" w14:textId="77777777" w:rsidR="00DD30EE" w:rsidRPr="0045242E" w:rsidRDefault="00DD30EE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</w:p>
        </w:tc>
      </w:tr>
    </w:tbl>
    <w:p w14:paraId="1EEA7396" w14:textId="77777777" w:rsidR="00C43A7B" w:rsidRDefault="00C43A7B" w:rsidP="00C43A7B">
      <w:pPr>
        <w:bidi/>
        <w:spacing w:after="0" w:line="360" w:lineRule="auto"/>
        <w:jc w:val="both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</w:pPr>
    </w:p>
    <w:p w14:paraId="0F5F133E" w14:textId="2AE14395" w:rsidR="000B4ABC" w:rsidRPr="0045242E" w:rsidRDefault="000B4ABC" w:rsidP="00C43A7B">
      <w:pPr>
        <w:bidi/>
        <w:spacing w:after="0" w:line="360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ג. דרישות קדם: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</w:p>
    <w:p w14:paraId="4D71FDCD" w14:textId="2E130A18" w:rsidR="000B4ABC" w:rsidRPr="0045242E" w:rsidRDefault="000B4ABC" w:rsidP="000B4ABC">
      <w:pPr>
        <w:bidi/>
        <w:spacing w:after="0" w:line="240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אין</w:t>
      </w:r>
      <w:r w:rsidR="001A46B7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.</w:t>
      </w:r>
    </w:p>
    <w:p w14:paraId="292277DE" w14:textId="77777777" w:rsidR="000B4ABC" w:rsidRPr="0045242E" w:rsidRDefault="000B4ABC" w:rsidP="000B4ABC">
      <w:pPr>
        <w:bidi/>
        <w:spacing w:after="0" w:line="360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</w:p>
    <w:p w14:paraId="2A5D43AF" w14:textId="77777777" w:rsidR="000B4ABC" w:rsidRPr="0045242E" w:rsidRDefault="000B4ABC" w:rsidP="000B4ABC">
      <w:pPr>
        <w:bidi/>
        <w:spacing w:after="0" w:line="360" w:lineRule="auto"/>
        <w:jc w:val="both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ד. חובות / דרישות / מטלות:</w:t>
      </w:r>
    </w:p>
    <w:p w14:paraId="269BF012" w14:textId="1242522D" w:rsidR="002A7A5E" w:rsidRPr="0045242E" w:rsidRDefault="002A7A5E" w:rsidP="002A7A5E">
      <w:pPr>
        <w:numPr>
          <w:ilvl w:val="0"/>
          <w:numId w:val="5"/>
        </w:numPr>
        <w:bidi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קריאת פריטי</w:t>
      </w:r>
      <w:r w:rsidR="00524EE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ם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בביבליוגרפיה  </w:t>
      </w:r>
    </w:p>
    <w:p w14:paraId="4755B662" w14:textId="171897C9" w:rsidR="002A7A5E" w:rsidRPr="0045242E" w:rsidRDefault="002A7A5E" w:rsidP="002A7A5E">
      <w:pPr>
        <w:numPr>
          <w:ilvl w:val="0"/>
          <w:numId w:val="5"/>
        </w:numPr>
        <w:bidi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נוכחות והשתתפות </w:t>
      </w:r>
      <w:r w:rsidR="00697718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פעילה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בשיעור </w:t>
      </w:r>
      <w:r w:rsidR="00697718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וב</w:t>
      </w:r>
      <w:r w:rsidR="00CD2F9A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סדנ</w:t>
      </w:r>
      <w:r w:rsidR="002A2C08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א</w:t>
      </w:r>
      <w:r w:rsidR="00697718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ות</w:t>
      </w:r>
    </w:p>
    <w:p w14:paraId="3E42B142" w14:textId="5BBC0CD9" w:rsidR="002A7A5E" w:rsidRPr="0045242E" w:rsidRDefault="002A7A5E" w:rsidP="002A7A5E">
      <w:pPr>
        <w:numPr>
          <w:ilvl w:val="0"/>
          <w:numId w:val="5"/>
        </w:numPr>
        <w:bidi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הגשת כל </w:t>
      </w:r>
      <w:r w:rsidR="005B7B5E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המטלות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במועד</w:t>
      </w:r>
      <w:r w:rsidR="00CA53F9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ן</w:t>
      </w:r>
    </w:p>
    <w:p w14:paraId="7559F21C" w14:textId="215A3B73" w:rsidR="007A0BAF" w:rsidRPr="0045242E" w:rsidRDefault="007A0BAF" w:rsidP="007A0BAF">
      <w:pPr>
        <w:bidi/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15F78CBE" w14:textId="155737DB" w:rsidR="00697718" w:rsidRPr="0045242E" w:rsidRDefault="00CA53F9" w:rsidP="00524EEB">
      <w:pPr>
        <w:bidi/>
        <w:spacing w:after="0" w:line="276" w:lineRule="auto"/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 xml:space="preserve">במהלך הסמסטר </w:t>
      </w:r>
      <w:r w:rsidR="00C43A7B">
        <w:rPr>
          <w:rFonts w:ascii="Calibri" w:eastAsia="Calibri" w:hAnsi="Calibri" w:cs="Calibri" w:hint="cs"/>
          <w:b/>
          <w:bCs/>
          <w:color w:val="1F3864" w:themeColor="accent1" w:themeShade="80"/>
          <w:sz w:val="24"/>
          <w:szCs w:val="24"/>
          <w:rtl/>
          <w:lang w:bidi="he-IL"/>
        </w:rPr>
        <w:t>יינתנו</w:t>
      </w:r>
      <w:r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 xml:space="preserve"> מטלות ביניים.</w:t>
      </w:r>
      <w:r w:rsidR="00BB4ED4"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</w:p>
    <w:p w14:paraId="0ED6BFD3" w14:textId="77777777" w:rsidR="00697718" w:rsidRPr="0045242E" w:rsidRDefault="00697718" w:rsidP="00697718">
      <w:pPr>
        <w:bidi/>
        <w:spacing w:after="0" w:line="276" w:lineRule="auto"/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2F917762" w14:textId="77777777" w:rsidR="00C371FD" w:rsidRPr="0045242E" w:rsidRDefault="00C371FD" w:rsidP="00C371FD">
      <w:pPr>
        <w:bidi/>
        <w:spacing w:after="0" w:line="360" w:lineRule="auto"/>
        <w:jc w:val="both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ה. מרכיבי הציון הסופי:</w:t>
      </w:r>
    </w:p>
    <w:p w14:paraId="1F8921B5" w14:textId="782B4386" w:rsidR="00105535" w:rsidRPr="0045242E" w:rsidRDefault="00105535" w:rsidP="00105535">
      <w:pPr>
        <w:bidi/>
        <w:spacing w:after="0" w:line="276" w:lineRule="auto"/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מטלות</w:t>
      </w:r>
      <w:r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>: במסגרת הסדנה יינתנו מספר מטלות</w:t>
      </w:r>
      <w:r w:rsidR="00980F8A"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>.</w:t>
      </w:r>
    </w:p>
    <w:p w14:paraId="6ADEE788" w14:textId="2512A070" w:rsidR="00105535" w:rsidRPr="0045242E" w:rsidRDefault="00105535" w:rsidP="00105535">
      <w:pPr>
        <w:bidi/>
        <w:spacing w:after="0" w:line="276" w:lineRule="auto"/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חובות ה</w:t>
      </w:r>
      <w:r w:rsidR="00CD2F9A"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סדנה</w:t>
      </w:r>
      <w:r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>: נוכחות במפגשים והשתתפות פעילה ותורמת, והגשת כל המטלות</w:t>
      </w:r>
      <w:r w:rsidR="00CA53F9"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>.</w:t>
      </w:r>
    </w:p>
    <w:p w14:paraId="046530E4" w14:textId="77777777" w:rsidR="00105535" w:rsidRPr="0045242E" w:rsidRDefault="00105535" w:rsidP="00105535">
      <w:pPr>
        <w:bidi/>
        <w:spacing w:after="0" w:line="276" w:lineRule="auto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lastRenderedPageBreak/>
        <w:t>מרכיבי הציון</w:t>
      </w:r>
      <w:r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>:  ציון עוברת/לא-עוברת יינתן בקורס על בסיס עמידה בכל חובות הקורס</w:t>
      </w:r>
      <w:r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lang w:bidi="he-IL"/>
        </w:rPr>
        <w:t>.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 </w:t>
      </w:r>
    </w:p>
    <w:p w14:paraId="0ED159A9" w14:textId="6C9999F1" w:rsidR="00DF7189" w:rsidRPr="0045242E" w:rsidRDefault="00DF7189" w:rsidP="00105535">
      <w:pPr>
        <w:bidi/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78B440C4" w14:textId="77777777" w:rsidR="00A86670" w:rsidRPr="0045242E" w:rsidRDefault="00A86670" w:rsidP="00A86670">
      <w:pPr>
        <w:bidi/>
        <w:spacing w:after="0" w:line="360" w:lineRule="auto"/>
        <w:ind w:left="26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ו. ביבליוגרפיה:</w:t>
      </w:r>
    </w:p>
    <w:p w14:paraId="05959F15" w14:textId="77777777" w:rsidR="00A86670" w:rsidRPr="0045242E" w:rsidRDefault="00A86670" w:rsidP="00C44454">
      <w:pPr>
        <w:bidi/>
        <w:spacing w:before="100" w:beforeAutospacing="1" w:after="100" w:afterAutospacing="1" w:line="240" w:lineRule="auto"/>
        <w:ind w:left="429" w:hanging="429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אמיר, מ. (2013). אקטיביסטית. בתוך: א. הנדל ואחרים (עורכים). </w:t>
      </w:r>
      <w:r w:rsidRPr="0045242E"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קריאת המחאה: לקסיקון פוליטי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>, תל אביב, הקיבוץ המאוחד ומכון מינרווה למדעי הרוח.</w:t>
      </w:r>
    </w:p>
    <w:p w14:paraId="77306AF2" w14:textId="77777777" w:rsidR="00A86670" w:rsidRPr="0045242E" w:rsidRDefault="00A86670" w:rsidP="00C44454">
      <w:pPr>
        <w:bidi/>
        <w:spacing w:before="100" w:beforeAutospacing="1" w:after="100" w:afterAutospacing="1" w:line="240" w:lineRule="auto"/>
        <w:ind w:left="429" w:hanging="429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>ברייר-</w:t>
      </w: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>גארב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, ר. (2004). תרגיל בהשמדה עצמית: פוליטיקה פמיניסטית באקדמיה, </w:t>
      </w:r>
      <w:r w:rsidRPr="0045242E"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תיאוריה וביקורת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>, 24, 221-229.</w:t>
      </w:r>
    </w:p>
    <w:p w14:paraId="0CF08275" w14:textId="3D98081B" w:rsidR="00A86670" w:rsidRPr="0045242E" w:rsidRDefault="00A86670" w:rsidP="00C44454">
      <w:pPr>
        <w:bidi/>
        <w:spacing w:before="100" w:beforeAutospacing="1" w:after="100" w:afterAutospacing="1" w:line="240" w:lineRule="auto"/>
        <w:ind w:left="429" w:hanging="429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הרצוג, ח. (2008). בין כיכר הדשא ושביל החצץ – נשים, פוליטיקה והחברה האזרחית. </w:t>
      </w: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תרבות דמוקרטית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10, 191 – 214.</w:t>
      </w:r>
    </w:p>
    <w:p w14:paraId="18210B1D" w14:textId="77777777" w:rsidR="00A86670" w:rsidRPr="0045242E" w:rsidRDefault="00A86670" w:rsidP="00C44454">
      <w:pPr>
        <w:bidi/>
        <w:spacing w:before="100" w:beforeAutospacing="1" w:after="100" w:afterAutospacing="1" w:line="240" w:lineRule="auto"/>
        <w:ind w:left="429" w:hanging="429"/>
        <w:rPr>
          <w:rFonts w:ascii="Calibri" w:hAnsi="Calibri" w:cs="Calibri"/>
          <w:color w:val="1F3864" w:themeColor="accent1" w:themeShade="80"/>
          <w:sz w:val="24"/>
          <w:szCs w:val="24"/>
        </w:rPr>
      </w:pP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>מעיכי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, ח. (2009). הקמת תנועה חברתית. בתוך: אלישבע סדן (עורכת), </w:t>
      </w:r>
      <w:r w:rsidRPr="0045242E"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עבודה קהילתית: שיטות לשינוי חברתי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(ע"ע 297-306). תל אביב: קו אדום, הוצאת הקיבוץ המאוחד.</w:t>
      </w:r>
    </w:p>
    <w:p w14:paraId="07280076" w14:textId="77777777" w:rsidR="00A86670" w:rsidRPr="0045242E" w:rsidRDefault="00A86670" w:rsidP="00C44454">
      <w:pPr>
        <w:bidi/>
        <w:spacing w:before="100" w:beforeAutospacing="1" w:after="100" w:afterAutospacing="1" w:line="240" w:lineRule="auto"/>
        <w:ind w:left="429" w:hanging="429"/>
        <w:rPr>
          <w:rFonts w:ascii="Calibri" w:hAnsi="Calibri" w:cs="Calibri"/>
          <w:color w:val="1F3864" w:themeColor="accent1" w:themeShade="80"/>
          <w:sz w:val="24"/>
          <w:szCs w:val="24"/>
        </w:rPr>
      </w:pP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>פרייזר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נ. (2004). מחלוקה להכרה? דילמות של צדק בעידן ה"פוסט סוציאליסטי". בתוך: ד. </w:t>
      </w: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>פילק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>וא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. רם (עורכים), </w:t>
      </w:r>
      <w:r w:rsidRPr="0045242E"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שלטון ההון: החברה הישראלית בעידן הגלובלי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(עמ' 270 – 297). הוצאת הקיבוץ המאוחד ומכון </w:t>
      </w: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>ון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ליר, ירושלים.</w:t>
      </w:r>
    </w:p>
    <w:p w14:paraId="6F8CD700" w14:textId="77777777" w:rsidR="003C19DD" w:rsidRPr="0045242E" w:rsidRDefault="003C19DD" w:rsidP="00C44454">
      <w:pPr>
        <w:spacing w:before="100" w:beforeAutospacing="1" w:after="100" w:afterAutospacing="1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Alvarez, S. E. (2009). Beyond NGO-</w:t>
      </w: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ization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? </w:t>
      </w: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Refelctions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from Latin America.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Dialogue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, 52 (2), 175-184.</w:t>
      </w:r>
    </w:p>
    <w:p w14:paraId="53246BFC" w14:textId="77777777" w:rsidR="003C19DD" w:rsidRPr="0045242E" w:rsidRDefault="003C19DD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Duyvendak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, J. W., &amp; Jasper, J., eds. (2015). P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layers and Arenas: The Interactive Dynamics of Protest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. Amsterdam University Press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</w:rPr>
        <w:t>.</w:t>
      </w:r>
    </w:p>
    <w:p w14:paraId="4C450A83" w14:textId="77777777" w:rsidR="003C19DD" w:rsidRPr="0045242E" w:rsidRDefault="003C19DD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Freeman, J. (1972-3). The tyranny of </w:t>
      </w: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structurelessness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, The Women's Liberation Movement.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Berkeley Journal of Sociology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, 17, 151-165.</w:t>
      </w:r>
    </w:p>
    <w:p w14:paraId="5010EC2B" w14:textId="77777777" w:rsidR="003C19DD" w:rsidRPr="0045242E" w:rsidRDefault="003C19DD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Jasper, J. M. (2006).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Getting your way: Strategic dilemmas in the real world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. University of Chicago Press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</w:rPr>
        <w:t>.</w:t>
      </w:r>
    </w:p>
    <w:p w14:paraId="1C265204" w14:textId="71F742ED" w:rsidR="00A86670" w:rsidRPr="0045242E" w:rsidRDefault="00A86670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Katz, C. (2003). Social systems: Thinking about society, identity, power and resistance. In: Holloway et al. (eds.),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 xml:space="preserve">Key Concepts in Geography, 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(pp. 249-265) Sage, London.</w:t>
      </w:r>
    </w:p>
    <w:p w14:paraId="167AAF39" w14:textId="77777777" w:rsidR="003C19DD" w:rsidRPr="0045242E" w:rsidRDefault="003C19DD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Kwan, S. (2009). Framing the fat body: Contested meanings between government, activists and industry.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 xml:space="preserve">Sociological Inquiry, 79 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(1), 25-50.</w:t>
      </w:r>
    </w:p>
    <w:p w14:paraId="05252CE3" w14:textId="4F0FF1CC" w:rsidR="00A86670" w:rsidRPr="0045242E" w:rsidRDefault="00A86670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noProof/>
          <w:color w:val="1F3864" w:themeColor="accent1" w:themeShade="80"/>
          <w:sz w:val="24"/>
          <w:szCs w:val="24"/>
        </w:rPr>
        <w:t xml:space="preserve">Leitner, H., Sheppard, E., &amp; Sziarto, K. M. (2008). The spatialities of contentious politics. </w:t>
      </w:r>
      <w:r w:rsidRPr="0045242E">
        <w:rPr>
          <w:rFonts w:ascii="Calibri" w:hAnsi="Calibri" w:cs="Calibri"/>
          <w:i/>
          <w:iCs/>
          <w:noProof/>
          <w:color w:val="1F3864" w:themeColor="accent1" w:themeShade="80"/>
          <w:sz w:val="24"/>
          <w:szCs w:val="24"/>
        </w:rPr>
        <w:t>Transactions of the Institute of British Geographers, 32</w:t>
      </w:r>
      <w:r w:rsidRPr="0045242E">
        <w:rPr>
          <w:rFonts w:ascii="Calibri" w:hAnsi="Calibri" w:cs="Calibri"/>
          <w:noProof/>
          <w:color w:val="1F3864" w:themeColor="accent1" w:themeShade="80"/>
          <w:sz w:val="24"/>
          <w:szCs w:val="24"/>
        </w:rPr>
        <w:t>, 116–125.</w:t>
      </w:r>
    </w:p>
    <w:p w14:paraId="3E5269CF" w14:textId="77777777" w:rsidR="00A86670" w:rsidRPr="0045242E" w:rsidRDefault="00A86670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Pile, S. (1997). Introduction: Opposition, political identities and spaces of resistance. In: S. Pile &amp; M. Keith, (eds.),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Geographies of Resistance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(pp. 1-32). Rutledge, USA and Canada. </w:t>
      </w:r>
    </w:p>
    <w:p w14:paraId="5F792DDA" w14:textId="77777777" w:rsidR="003C19DD" w:rsidRPr="0045242E" w:rsidRDefault="003C19DD" w:rsidP="00C44454">
      <w:pPr>
        <w:spacing w:before="100" w:beforeAutospacing="1" w:after="100" w:afterAutospacing="1"/>
        <w:ind w:left="425" w:hanging="425"/>
        <w:rPr>
          <w:rFonts w:ascii="Calibri" w:hAnsi="Calibri" w:cs="Calibri"/>
          <w:color w:val="1F3864" w:themeColor="accent1" w:themeShade="80"/>
          <w:sz w:val="24"/>
          <w:szCs w:val="24"/>
          <w:lang w:bidi="he-IL"/>
        </w:rPr>
      </w:pP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lastRenderedPageBreak/>
        <w:t>Strichman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, N. (2018). Past achievements and future directions of women’s and feminist organizations in Israel. A participatory action research project. </w:t>
      </w:r>
      <w:proofErr w:type="spellStart"/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Dafna</w:t>
      </w:r>
      <w:proofErr w:type="spellEnd"/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 xml:space="preserve"> fund and the National Council of Jewish Women (NCJW)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.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lang w:bidi="he-IL"/>
        </w:rPr>
        <w:t xml:space="preserve"> </w:t>
      </w:r>
    </w:p>
    <w:p w14:paraId="61F2BAC3" w14:textId="29C44031" w:rsidR="003C19DD" w:rsidRPr="0045242E" w:rsidRDefault="003C19DD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Yacobi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, H. (2007). The </w:t>
      </w:r>
      <w:proofErr w:type="spellStart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NGOzation</w:t>
      </w:r>
      <w:proofErr w:type="spellEnd"/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of space: dilemmas of social change, planning policy, and the Israeli public sphere.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 xml:space="preserve"> Environment and planning D: Society and Space,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25, 745-758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</w:rPr>
        <w:t>.</w:t>
      </w:r>
    </w:p>
    <w:sectPr w:rsidR="003C19DD" w:rsidRPr="0045242E" w:rsidSect="00A371F7">
      <w:footerReference w:type="default" r:id="rId14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4A8B" w14:textId="77777777" w:rsidR="00E27BE6" w:rsidRDefault="00E27BE6" w:rsidP="00CB398B">
      <w:pPr>
        <w:spacing w:after="0" w:line="240" w:lineRule="auto"/>
      </w:pPr>
      <w:r>
        <w:separator/>
      </w:r>
    </w:p>
  </w:endnote>
  <w:endnote w:type="continuationSeparator" w:id="0">
    <w:p w14:paraId="17448034" w14:textId="77777777" w:rsidR="00E27BE6" w:rsidRDefault="00E27BE6" w:rsidP="00C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07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FA88D" w14:textId="4A138983" w:rsidR="00A371F7" w:rsidRDefault="00A371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573E9" w14:textId="77777777" w:rsidR="00A371F7" w:rsidRDefault="00A371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7049" w14:textId="77777777" w:rsidR="00E27BE6" w:rsidRDefault="00E27BE6" w:rsidP="00CB398B">
      <w:pPr>
        <w:spacing w:after="0" w:line="240" w:lineRule="auto"/>
      </w:pPr>
      <w:r>
        <w:separator/>
      </w:r>
    </w:p>
  </w:footnote>
  <w:footnote w:type="continuationSeparator" w:id="0">
    <w:p w14:paraId="3D2A57F6" w14:textId="77777777" w:rsidR="00E27BE6" w:rsidRDefault="00E27BE6" w:rsidP="00C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47D"/>
    <w:multiLevelType w:val="hybridMultilevel"/>
    <w:tmpl w:val="2604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7BBE"/>
    <w:multiLevelType w:val="hybridMultilevel"/>
    <w:tmpl w:val="1AF479F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7F49"/>
    <w:multiLevelType w:val="hybridMultilevel"/>
    <w:tmpl w:val="A18AB556"/>
    <w:lvl w:ilvl="0" w:tplc="F5822DCE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47387F61"/>
    <w:multiLevelType w:val="hybridMultilevel"/>
    <w:tmpl w:val="CF2E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1BE5"/>
    <w:multiLevelType w:val="hybridMultilevel"/>
    <w:tmpl w:val="CE26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032195">
    <w:abstractNumId w:val="4"/>
  </w:num>
  <w:num w:numId="2" w16cid:durableId="421342065">
    <w:abstractNumId w:val="2"/>
  </w:num>
  <w:num w:numId="3" w16cid:durableId="1095244318">
    <w:abstractNumId w:val="3"/>
  </w:num>
  <w:num w:numId="4" w16cid:durableId="564797009">
    <w:abstractNumId w:val="0"/>
  </w:num>
  <w:num w:numId="5" w16cid:durableId="63591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D"/>
    <w:rsid w:val="00011B61"/>
    <w:rsid w:val="000B16C2"/>
    <w:rsid w:val="000B4ABC"/>
    <w:rsid w:val="000C1D3B"/>
    <w:rsid w:val="000D2206"/>
    <w:rsid w:val="000E0DA7"/>
    <w:rsid w:val="000E761E"/>
    <w:rsid w:val="00105535"/>
    <w:rsid w:val="00151458"/>
    <w:rsid w:val="00194871"/>
    <w:rsid w:val="001A46B7"/>
    <w:rsid w:val="001B24A0"/>
    <w:rsid w:val="001C5098"/>
    <w:rsid w:val="00266316"/>
    <w:rsid w:val="002A2541"/>
    <w:rsid w:val="002A2C08"/>
    <w:rsid w:val="002A7A5E"/>
    <w:rsid w:val="002B2C27"/>
    <w:rsid w:val="002C7153"/>
    <w:rsid w:val="002D77F6"/>
    <w:rsid w:val="00333E1A"/>
    <w:rsid w:val="00352EE3"/>
    <w:rsid w:val="0037512E"/>
    <w:rsid w:val="00376105"/>
    <w:rsid w:val="003921DC"/>
    <w:rsid w:val="003A6585"/>
    <w:rsid w:val="003B406F"/>
    <w:rsid w:val="003B4626"/>
    <w:rsid w:val="003C19DD"/>
    <w:rsid w:val="003E4196"/>
    <w:rsid w:val="003F08E4"/>
    <w:rsid w:val="00444086"/>
    <w:rsid w:val="00447B30"/>
    <w:rsid w:val="0045242E"/>
    <w:rsid w:val="0045259D"/>
    <w:rsid w:val="00487625"/>
    <w:rsid w:val="004E3D4E"/>
    <w:rsid w:val="004E5784"/>
    <w:rsid w:val="004F7875"/>
    <w:rsid w:val="0050126E"/>
    <w:rsid w:val="00521DCB"/>
    <w:rsid w:val="00524EEB"/>
    <w:rsid w:val="005668B4"/>
    <w:rsid w:val="00587DEE"/>
    <w:rsid w:val="005B7B5E"/>
    <w:rsid w:val="005D298A"/>
    <w:rsid w:val="005F6C5B"/>
    <w:rsid w:val="00601450"/>
    <w:rsid w:val="00623E1E"/>
    <w:rsid w:val="00644782"/>
    <w:rsid w:val="0064485C"/>
    <w:rsid w:val="0065207F"/>
    <w:rsid w:val="00652FBC"/>
    <w:rsid w:val="00660977"/>
    <w:rsid w:val="0067420E"/>
    <w:rsid w:val="00682CEB"/>
    <w:rsid w:val="00683660"/>
    <w:rsid w:val="00697718"/>
    <w:rsid w:val="006F46E9"/>
    <w:rsid w:val="007355AB"/>
    <w:rsid w:val="00767A0B"/>
    <w:rsid w:val="00793FD6"/>
    <w:rsid w:val="00797069"/>
    <w:rsid w:val="007A0BAF"/>
    <w:rsid w:val="007C3D71"/>
    <w:rsid w:val="007F31F5"/>
    <w:rsid w:val="007F61FF"/>
    <w:rsid w:val="0080568E"/>
    <w:rsid w:val="00813DD2"/>
    <w:rsid w:val="008B316B"/>
    <w:rsid w:val="00907168"/>
    <w:rsid w:val="00912CFE"/>
    <w:rsid w:val="00956727"/>
    <w:rsid w:val="00980F8A"/>
    <w:rsid w:val="00985A2D"/>
    <w:rsid w:val="00992A15"/>
    <w:rsid w:val="009D49D1"/>
    <w:rsid w:val="00A22EB9"/>
    <w:rsid w:val="00A371F7"/>
    <w:rsid w:val="00A452A8"/>
    <w:rsid w:val="00A73FCC"/>
    <w:rsid w:val="00A86670"/>
    <w:rsid w:val="00A9496A"/>
    <w:rsid w:val="00AA27AB"/>
    <w:rsid w:val="00AC55B0"/>
    <w:rsid w:val="00B14C9C"/>
    <w:rsid w:val="00B216B6"/>
    <w:rsid w:val="00B24E77"/>
    <w:rsid w:val="00B30180"/>
    <w:rsid w:val="00B30326"/>
    <w:rsid w:val="00B73BFA"/>
    <w:rsid w:val="00B74DC6"/>
    <w:rsid w:val="00BB3701"/>
    <w:rsid w:val="00BB4ED4"/>
    <w:rsid w:val="00BD53DB"/>
    <w:rsid w:val="00C371FD"/>
    <w:rsid w:val="00C43A7B"/>
    <w:rsid w:val="00C44454"/>
    <w:rsid w:val="00C93440"/>
    <w:rsid w:val="00CA3EC6"/>
    <w:rsid w:val="00CA53F9"/>
    <w:rsid w:val="00CB398B"/>
    <w:rsid w:val="00CC6B6D"/>
    <w:rsid w:val="00CD2F9A"/>
    <w:rsid w:val="00CE1124"/>
    <w:rsid w:val="00CF21AA"/>
    <w:rsid w:val="00DA3559"/>
    <w:rsid w:val="00DB2019"/>
    <w:rsid w:val="00DD30EE"/>
    <w:rsid w:val="00DF5CD3"/>
    <w:rsid w:val="00DF7189"/>
    <w:rsid w:val="00E03D53"/>
    <w:rsid w:val="00E13FAA"/>
    <w:rsid w:val="00E17354"/>
    <w:rsid w:val="00E27BE6"/>
    <w:rsid w:val="00E37F76"/>
    <w:rsid w:val="00E4658D"/>
    <w:rsid w:val="00E547DD"/>
    <w:rsid w:val="00EB356A"/>
    <w:rsid w:val="00ED20B0"/>
    <w:rsid w:val="00EF7C2A"/>
    <w:rsid w:val="00F10C18"/>
    <w:rsid w:val="00F476C9"/>
    <w:rsid w:val="00F62EB7"/>
    <w:rsid w:val="00F74E50"/>
    <w:rsid w:val="00FA1E02"/>
    <w:rsid w:val="00FE2C42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F035"/>
  <w15:chartTrackingRefBased/>
  <w15:docId w15:val="{042E3E92-AEC5-4600-BBE7-23949961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B398B"/>
  </w:style>
  <w:style w:type="paragraph" w:styleId="a5">
    <w:name w:val="footer"/>
    <w:basedOn w:val="a"/>
    <w:link w:val="a6"/>
    <w:uiPriority w:val="99"/>
    <w:unhideWhenUsed/>
    <w:rsid w:val="00CB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B398B"/>
  </w:style>
  <w:style w:type="paragraph" w:styleId="NormalWeb">
    <w:name w:val="Normal (Web)"/>
    <w:basedOn w:val="a"/>
    <w:uiPriority w:val="99"/>
    <w:unhideWhenUsed/>
    <w:rsid w:val="002D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2D77F6"/>
    <w:rPr>
      <w:b/>
      <w:bCs/>
    </w:rPr>
  </w:style>
  <w:style w:type="paragraph" w:styleId="a8">
    <w:name w:val="List Paragraph"/>
    <w:basedOn w:val="a"/>
    <w:uiPriority w:val="34"/>
    <w:qFormat/>
    <w:rsid w:val="00644782"/>
    <w:pPr>
      <w:ind w:left="720"/>
      <w:contextualSpacing/>
    </w:pPr>
  </w:style>
  <w:style w:type="table" w:styleId="a9">
    <w:name w:val="Table Grid"/>
    <w:basedOn w:val="a1"/>
    <w:uiPriority w:val="59"/>
    <w:rsid w:val="00DD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22EB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2EB9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C43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ingtogether.org.il/wp-content/uploads/2018/07/ideas-june-18.pdf" TargetMode="External"/><Relationship Id="rId13" Type="http://schemas.openxmlformats.org/officeDocument/2006/relationships/hyperlink" Target="https://meyda.education.gov.il/files/PortalBaaluyot/POB/cooperation-insight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sembira@gmail.com" TargetMode="External"/><Relationship Id="rId12" Type="http://schemas.openxmlformats.org/officeDocument/2006/relationships/hyperlink" Target="https://csf.org.il/2018/01/15/%D7%A2%D7%A9%D7%A8%D7%AA-%D7%94%D7%93%D7%99%D7%91%D7%A8%D7%95%D7%AA-%D7%9C%D7%94%D7%A9%D7%A4%D7%A2%D7%94-%D7%97%D7%91%D7%A8%D7%AA%D7%99%D7%A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cesforgood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eoryofchange.org/what-is-theory-of-cha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sheatufim.org.il/w/upload/sheatufim/3/3e/Collective_impact_insight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1274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hartal</dc:creator>
  <cp:keywords/>
  <dc:description/>
  <cp:lastModifiedBy>gali sembira</cp:lastModifiedBy>
  <cp:revision>4</cp:revision>
  <dcterms:created xsi:type="dcterms:W3CDTF">2022-09-04T12:21:00Z</dcterms:created>
  <dcterms:modified xsi:type="dcterms:W3CDTF">2022-09-05T16:52:00Z</dcterms:modified>
</cp:coreProperties>
</file>