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EB8D" w14:textId="33EF086E" w:rsidR="00CB0752" w:rsidRPr="003C070F" w:rsidRDefault="00DD686B" w:rsidP="00D668F8">
      <w:pPr>
        <w:spacing w:line="360" w:lineRule="auto"/>
        <w:ind w:left="5040"/>
        <w:rPr>
          <w:rFonts w:ascii="Arial" w:hAnsi="Arial" w:cs="Tahoma"/>
          <w:bCs/>
          <w:color w:val="548DD4"/>
          <w:rtl/>
        </w:rPr>
      </w:pPr>
      <w:r w:rsidRPr="003C070F">
        <w:rPr>
          <w:rFonts w:ascii="Arial" w:hAnsi="Arial" w:cs="Tahoma"/>
          <w:bCs/>
          <w:color w:val="548DD4"/>
          <w:rtl/>
        </w:rPr>
        <w:t>תאריך עדכון:</w:t>
      </w:r>
      <w:r w:rsidR="00CB0752" w:rsidRPr="003C070F">
        <w:rPr>
          <w:rFonts w:ascii="Arial" w:hAnsi="Arial" w:cs="Tahoma"/>
          <w:bCs/>
          <w:color w:val="548DD4"/>
          <w:rtl/>
        </w:rPr>
        <w:t xml:space="preserve"> </w:t>
      </w:r>
      <w:r w:rsidR="00E07713">
        <w:rPr>
          <w:rFonts w:ascii="Arial" w:hAnsi="Arial" w:cs="Tahoma" w:hint="cs"/>
          <w:bCs/>
          <w:color w:val="548DD4"/>
          <w:rtl/>
        </w:rPr>
        <w:t>אוגוסט 22</w:t>
      </w:r>
    </w:p>
    <w:p w14:paraId="0F485A24" w14:textId="7B5B7222" w:rsidR="00587EEB" w:rsidRPr="00E07713" w:rsidRDefault="001E3C17" w:rsidP="001E3C17">
      <w:pPr>
        <w:spacing w:line="360" w:lineRule="auto"/>
        <w:ind w:left="3203"/>
        <w:rPr>
          <w:rFonts w:ascii="Arial" w:hAnsi="Arial" w:cs="Tahoma"/>
          <w:bCs/>
          <w:color w:val="548DD4"/>
          <w:sz w:val="28"/>
          <w:szCs w:val="28"/>
          <w:rtl/>
        </w:rPr>
      </w:pPr>
      <w:r w:rsidRPr="00E07713">
        <w:rPr>
          <w:rFonts w:ascii="Arial" w:hAnsi="Arial" w:cs="Tahoma" w:hint="cs"/>
          <w:bCs/>
          <w:color w:val="548DD4"/>
          <w:sz w:val="28"/>
          <w:szCs w:val="28"/>
          <w:rtl/>
        </w:rPr>
        <w:t>שם מחלקה:</w:t>
      </w:r>
      <w:r w:rsidR="003E4968" w:rsidRPr="00E07713">
        <w:rPr>
          <w:rFonts w:ascii="Arial" w:hAnsi="Arial" w:cs="Tahoma" w:hint="cs"/>
          <w:bCs/>
          <w:color w:val="548DD4"/>
          <w:sz w:val="28"/>
          <w:szCs w:val="28"/>
          <w:rtl/>
        </w:rPr>
        <w:t xml:space="preserve"> מגדר</w:t>
      </w:r>
    </w:p>
    <w:p w14:paraId="65B6C95A" w14:textId="7A7AE790" w:rsidR="001E3C17" w:rsidRPr="00E07713" w:rsidRDefault="00DD686B" w:rsidP="00DD686B">
      <w:pPr>
        <w:spacing w:line="360" w:lineRule="auto"/>
        <w:jc w:val="center"/>
        <w:rPr>
          <w:rFonts w:ascii="Arial" w:hAnsi="Arial" w:cs="Tahoma"/>
          <w:bCs/>
          <w:color w:val="548DD4"/>
          <w:sz w:val="28"/>
          <w:szCs w:val="28"/>
          <w:rtl/>
        </w:rPr>
      </w:pPr>
      <w:r w:rsidRPr="00E07713">
        <w:rPr>
          <w:rFonts w:ascii="Arial" w:hAnsi="Arial" w:cs="Tahoma"/>
          <w:bCs/>
          <w:color w:val="548DD4"/>
          <w:sz w:val="28"/>
          <w:szCs w:val="28"/>
          <w:rtl/>
        </w:rPr>
        <w:t xml:space="preserve">שם ומספר הקורס: </w:t>
      </w:r>
      <w:r w:rsidR="003E4968" w:rsidRPr="00E07713">
        <w:rPr>
          <w:rFonts w:ascii="Arial" w:hAnsi="Arial" w:cs="Tahoma" w:hint="cs"/>
          <w:bCs/>
          <w:color w:val="548DD4"/>
          <w:sz w:val="28"/>
          <w:szCs w:val="28"/>
          <w:rtl/>
        </w:rPr>
        <w:t>תרבות ומגדר</w:t>
      </w:r>
    </w:p>
    <w:p w14:paraId="30577D54" w14:textId="77777777" w:rsidR="001E3C17" w:rsidRPr="003C070F" w:rsidRDefault="001E3C17" w:rsidP="001E3C17">
      <w:pPr>
        <w:spacing w:line="360" w:lineRule="auto"/>
        <w:jc w:val="both"/>
        <w:rPr>
          <w:sz w:val="28"/>
          <w:szCs w:val="28"/>
          <w:rtl/>
        </w:rPr>
      </w:pPr>
    </w:p>
    <w:p w14:paraId="276FCE1E" w14:textId="0F6A6C79" w:rsidR="001E3C17" w:rsidRDefault="001E3C17" w:rsidP="001E3C17">
      <w:pPr>
        <w:spacing w:line="360" w:lineRule="auto"/>
        <w:jc w:val="center"/>
        <w:rPr>
          <w:color w:val="2F5496"/>
          <w:sz w:val="28"/>
          <w:szCs w:val="28"/>
          <w:rtl/>
        </w:rPr>
      </w:pPr>
      <w:r w:rsidRPr="00323F23">
        <w:rPr>
          <w:b/>
          <w:bCs/>
          <w:color w:val="2F5496"/>
          <w:sz w:val="28"/>
          <w:szCs w:val="28"/>
          <w:rtl/>
        </w:rPr>
        <w:t>שם הקורס באנגלית</w:t>
      </w:r>
      <w:r w:rsidRPr="00323F23">
        <w:rPr>
          <w:color w:val="2F5496"/>
          <w:sz w:val="28"/>
          <w:szCs w:val="28"/>
          <w:rtl/>
        </w:rPr>
        <w:t>:</w:t>
      </w:r>
    </w:p>
    <w:p w14:paraId="00D01ABA" w14:textId="5CA2A684" w:rsidR="003E4968" w:rsidRPr="00323F23" w:rsidRDefault="003E4968" w:rsidP="001E3C17">
      <w:pPr>
        <w:spacing w:line="360" w:lineRule="auto"/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Culture and gender-feminist perspectives</w:t>
      </w:r>
    </w:p>
    <w:p w14:paraId="787593F6" w14:textId="630F4B02" w:rsidR="00CB0752" w:rsidRPr="003C070F" w:rsidRDefault="00CB0752" w:rsidP="00DD686B">
      <w:pPr>
        <w:spacing w:line="360" w:lineRule="auto"/>
        <w:jc w:val="center"/>
        <w:rPr>
          <w:rFonts w:ascii="Arial" w:hAnsi="Arial" w:cs="Tahoma"/>
          <w:color w:val="548DD4"/>
          <w:szCs w:val="20"/>
          <w:rtl/>
        </w:rPr>
      </w:pPr>
      <w:r w:rsidRPr="003C070F">
        <w:rPr>
          <w:rFonts w:ascii="Arial" w:hAnsi="Arial" w:cs="Tahoma"/>
          <w:bCs/>
          <w:color w:val="548DD4"/>
          <w:sz w:val="36"/>
          <w:szCs w:val="28"/>
          <w:rtl/>
        </w:rPr>
        <w:t>שם המרצה:</w:t>
      </w:r>
      <w:r w:rsidR="003E4968">
        <w:rPr>
          <w:rFonts w:ascii="Arial" w:hAnsi="Arial" w:cs="Tahoma" w:hint="cs"/>
          <w:color w:val="548DD4"/>
          <w:szCs w:val="20"/>
          <w:rtl/>
        </w:rPr>
        <w:t xml:space="preserve"> ד"ר מירי רוזמרין</w:t>
      </w:r>
    </w:p>
    <w:p w14:paraId="51BA2DA4" w14:textId="5CBD73F3" w:rsidR="00DD686B" w:rsidRPr="003C070F" w:rsidRDefault="00DD686B" w:rsidP="00DD686B">
      <w:pPr>
        <w:spacing w:line="360" w:lineRule="auto"/>
        <w:jc w:val="center"/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סוג הקורס:</w:t>
      </w:r>
      <w:r w:rsidRPr="003C070F">
        <w:rPr>
          <w:rFonts w:ascii="Arial" w:hAnsi="Arial" w:cs="Arial"/>
          <w:color w:val="548DD4"/>
          <w:rtl/>
        </w:rPr>
        <w:t xml:space="preserve"> (שיעור)</w:t>
      </w:r>
    </w:p>
    <w:p w14:paraId="6E75CE5B" w14:textId="4269F6E4" w:rsidR="00DD686B" w:rsidRPr="003C070F" w:rsidRDefault="00DD686B" w:rsidP="00DD686B">
      <w:pPr>
        <w:spacing w:line="360" w:lineRule="auto"/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שנת לימודים</w:t>
      </w:r>
      <w:r w:rsidRPr="003C070F">
        <w:rPr>
          <w:rFonts w:ascii="Arial" w:hAnsi="Arial" w:cs="Arial"/>
          <w:color w:val="548DD4"/>
          <w:rtl/>
        </w:rPr>
        <w:t xml:space="preserve">:  </w:t>
      </w:r>
      <w:proofErr w:type="spellStart"/>
      <w:r w:rsidR="003E4968">
        <w:rPr>
          <w:rFonts w:ascii="Arial" w:hAnsi="Arial" w:cs="Arial" w:hint="cs"/>
          <w:color w:val="548DD4"/>
          <w:rtl/>
        </w:rPr>
        <w:t>תשפג</w:t>
      </w:r>
      <w:proofErr w:type="spellEnd"/>
      <w:r w:rsidRPr="003C070F">
        <w:rPr>
          <w:rFonts w:ascii="Arial" w:hAnsi="Arial" w:cs="Arial"/>
          <w:color w:val="548DD4"/>
          <w:rtl/>
        </w:rPr>
        <w:t xml:space="preserve">                    </w:t>
      </w:r>
      <w:r w:rsidRPr="003C070F">
        <w:rPr>
          <w:rFonts w:ascii="Arial" w:hAnsi="Arial" w:cs="Arial"/>
          <w:b/>
          <w:bCs/>
          <w:color w:val="548DD4"/>
          <w:rtl/>
        </w:rPr>
        <w:t>סמסטר</w:t>
      </w:r>
      <w:r w:rsidRPr="003C070F">
        <w:rPr>
          <w:rFonts w:ascii="Arial" w:hAnsi="Arial" w:cs="Arial"/>
          <w:color w:val="548DD4"/>
          <w:rtl/>
        </w:rPr>
        <w:t xml:space="preserve">:     </w:t>
      </w:r>
      <w:r w:rsidR="003E4968">
        <w:rPr>
          <w:rFonts w:ascii="Arial" w:hAnsi="Arial" w:cs="Arial" w:hint="cs"/>
          <w:color w:val="548DD4"/>
          <w:rtl/>
        </w:rPr>
        <w:t>שנתי</w:t>
      </w:r>
      <w:r w:rsidRPr="003C070F">
        <w:rPr>
          <w:rFonts w:ascii="Arial" w:hAnsi="Arial" w:cs="Arial"/>
          <w:color w:val="548DD4"/>
          <w:rtl/>
        </w:rPr>
        <w:t xml:space="preserve">                     </w:t>
      </w:r>
      <w:r w:rsidRPr="003C070F">
        <w:rPr>
          <w:rFonts w:ascii="Arial" w:hAnsi="Arial" w:cs="Arial"/>
          <w:b/>
          <w:bCs/>
          <w:color w:val="548DD4"/>
          <w:rtl/>
        </w:rPr>
        <w:t>היקף שעות</w:t>
      </w:r>
      <w:r w:rsidRPr="003C070F">
        <w:rPr>
          <w:rFonts w:ascii="Arial" w:hAnsi="Arial" w:cs="Arial"/>
          <w:color w:val="548DD4"/>
          <w:rtl/>
        </w:rPr>
        <w:t xml:space="preserve">:  </w:t>
      </w:r>
    </w:p>
    <w:p w14:paraId="387A7AD6" w14:textId="77777777" w:rsidR="00DD686B" w:rsidRPr="003C070F" w:rsidRDefault="00DD686B" w:rsidP="00DD686B">
      <w:pPr>
        <w:rPr>
          <w:rFonts w:ascii="Arial" w:hAnsi="Arial" w:cs="Arial"/>
          <w:color w:val="548DD4"/>
        </w:rPr>
      </w:pPr>
      <w:r w:rsidRPr="003C070F">
        <w:rPr>
          <w:rFonts w:ascii="Arial" w:hAnsi="Arial" w:cs="Arial"/>
          <w:b/>
          <w:bCs/>
          <w:color w:val="548DD4"/>
          <w:rtl/>
        </w:rPr>
        <w:t xml:space="preserve"> אתר הקורס באינטרנט:</w:t>
      </w:r>
      <w:r w:rsidRPr="003C070F">
        <w:rPr>
          <w:rFonts w:ascii="Arial" w:hAnsi="Arial" w:cs="Arial"/>
          <w:color w:val="548DD4"/>
          <w:rtl/>
        </w:rPr>
        <w:t xml:space="preserve">           </w:t>
      </w:r>
    </w:p>
    <w:p w14:paraId="4DC72E4C" w14:textId="77777777" w:rsidR="00DD686B" w:rsidRPr="003C070F" w:rsidRDefault="00DD686B" w:rsidP="00D668F8">
      <w:pPr>
        <w:spacing w:line="360" w:lineRule="auto"/>
        <w:rPr>
          <w:sz w:val="28"/>
          <w:szCs w:val="28"/>
          <w:rtl/>
        </w:rPr>
      </w:pPr>
    </w:p>
    <w:p w14:paraId="6D47E92E" w14:textId="76316D9B" w:rsidR="001B302D" w:rsidRPr="00E07713" w:rsidRDefault="007762FE" w:rsidP="00E07713">
      <w:pPr>
        <w:spacing w:line="276" w:lineRule="auto"/>
        <w:ind w:left="26"/>
        <w:rPr>
          <w:rFonts w:asciiTheme="majorBidi" w:hAnsiTheme="majorBidi" w:cstheme="majorBidi"/>
          <w:b/>
          <w:bCs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 xml:space="preserve">א. </w:t>
      </w:r>
      <w:r w:rsidR="00DD686B" w:rsidRPr="00E07713">
        <w:rPr>
          <w:rFonts w:asciiTheme="majorBidi" w:hAnsiTheme="majorBidi" w:cstheme="majorBidi"/>
          <w:b/>
          <w:bCs/>
          <w:rtl/>
        </w:rPr>
        <w:t>מטרות הקורס</w:t>
      </w:r>
      <w:r w:rsidR="009A208E" w:rsidRPr="00E07713">
        <w:rPr>
          <w:rFonts w:asciiTheme="majorBidi" w:hAnsiTheme="majorBidi" w:cstheme="majorBidi"/>
          <w:b/>
          <w:bCs/>
          <w:rtl/>
        </w:rPr>
        <w:t xml:space="preserve"> ותוצרי למידה</w:t>
      </w:r>
      <w:r w:rsidR="00DD686B" w:rsidRPr="00E07713">
        <w:rPr>
          <w:rFonts w:asciiTheme="majorBidi" w:hAnsiTheme="majorBidi" w:cstheme="majorBidi"/>
          <w:b/>
          <w:bCs/>
          <w:rtl/>
        </w:rPr>
        <w:t>:</w:t>
      </w:r>
    </w:p>
    <w:p w14:paraId="7AC9862A" w14:textId="77777777" w:rsidR="00AE3F6E" w:rsidRPr="00E07713" w:rsidRDefault="00BC22C3" w:rsidP="00E07713">
      <w:pPr>
        <w:spacing w:line="276" w:lineRule="auto"/>
        <w:ind w:left="26"/>
        <w:jc w:val="both"/>
        <w:rPr>
          <w:rFonts w:asciiTheme="majorBidi" w:hAnsiTheme="majorBidi" w:cstheme="majorBidi"/>
          <w:b/>
          <w:bCs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 xml:space="preserve">מטרת הקורס </w:t>
      </w:r>
    </w:p>
    <w:p w14:paraId="202CEE39" w14:textId="77777777" w:rsidR="004D4470" w:rsidRPr="00E07713" w:rsidRDefault="004D4470" w:rsidP="00E07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rtl/>
          <w:lang w:bidi="he"/>
        </w:rPr>
      </w:pPr>
      <w:r w:rsidRPr="00E07713">
        <w:rPr>
          <w:rFonts w:asciiTheme="majorBidi" w:hAnsiTheme="majorBidi" w:cstheme="majorBidi"/>
          <w:rtl/>
        </w:rPr>
        <w:t xml:space="preserve">ללמוד את כלי  ניתוח הביקורתיים של תרבות; להכיר את הביקורת הפמיניסטית על התרבות ועל כלי הניתוח של ביקורת התרבות; להכיר את מושגי היסוד של השיח הביקורתי </w:t>
      </w:r>
    </w:p>
    <w:p w14:paraId="76BBC903" w14:textId="77777777" w:rsidR="009263FA" w:rsidRPr="00E07713" w:rsidRDefault="009263FA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  <w:lang w:bidi="he"/>
        </w:rPr>
      </w:pPr>
    </w:p>
    <w:p w14:paraId="183890E4" w14:textId="6C0CE538" w:rsidR="00BC22C3" w:rsidRPr="00E07713" w:rsidRDefault="00BC22C3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>תוצרי למידה</w:t>
      </w:r>
      <w:r w:rsidRPr="00E07713">
        <w:rPr>
          <w:rFonts w:asciiTheme="majorBidi" w:hAnsiTheme="majorBidi" w:cstheme="majorBidi"/>
          <w:rtl/>
        </w:rPr>
        <w:t xml:space="preserve"> </w:t>
      </w:r>
    </w:p>
    <w:p w14:paraId="45C29360" w14:textId="40A4C0D9" w:rsidR="003E4968" w:rsidRPr="00E07713" w:rsidRDefault="003E4968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rtl/>
        </w:rPr>
        <w:t>היכרות עם כלים תיאורטיים שונים רלוונטיים לתחום הידע</w:t>
      </w:r>
    </w:p>
    <w:p w14:paraId="74851464" w14:textId="1625F881" w:rsidR="003E4968" w:rsidRPr="00E07713" w:rsidRDefault="003E4968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rtl/>
        </w:rPr>
        <w:t>הקניית מיומנות ניתוח של זירות תרבותיות באמצעות הכלים התיאורים הנלמדים</w:t>
      </w:r>
    </w:p>
    <w:p w14:paraId="49BB1A58" w14:textId="2CE913BA" w:rsidR="003E4968" w:rsidRPr="00E07713" w:rsidRDefault="003E4968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rtl/>
        </w:rPr>
        <w:t>פיתוח יכולת לדיון משווה בין כלים תיאורטיים שונים</w:t>
      </w:r>
    </w:p>
    <w:p w14:paraId="7CBB47FC" w14:textId="77777777" w:rsidR="003E4968" w:rsidRPr="00E07713" w:rsidRDefault="003E4968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rtl/>
        </w:rPr>
        <w:t xml:space="preserve">פיתוח חשיבה ביקורתית </w:t>
      </w:r>
    </w:p>
    <w:p w14:paraId="1908507A" w14:textId="4D9DE15F" w:rsidR="003E4968" w:rsidRPr="00E07713" w:rsidRDefault="003E4968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rtl/>
        </w:rPr>
        <w:t>הבנת</w:t>
      </w:r>
      <w:r w:rsidR="00E07713">
        <w:rPr>
          <w:rFonts w:asciiTheme="majorBidi" w:hAnsiTheme="majorBidi" w:cstheme="majorBidi" w:hint="cs"/>
          <w:rtl/>
        </w:rPr>
        <w:t xml:space="preserve"> </w:t>
      </w:r>
      <w:r w:rsidRPr="00E07713">
        <w:rPr>
          <w:rFonts w:asciiTheme="majorBidi" w:hAnsiTheme="majorBidi" w:cstheme="majorBidi"/>
          <w:rtl/>
        </w:rPr>
        <w:t xml:space="preserve">התפקיד של תיאוריות במחקר בתחומים דיסציפלינריים שונים </w:t>
      </w:r>
    </w:p>
    <w:p w14:paraId="2772F082" w14:textId="77777777" w:rsidR="009263FA" w:rsidRPr="00E07713" w:rsidRDefault="009263FA" w:rsidP="00E07713">
      <w:pPr>
        <w:spacing w:line="276" w:lineRule="auto"/>
        <w:rPr>
          <w:rFonts w:asciiTheme="majorBidi" w:hAnsiTheme="majorBidi" w:cstheme="majorBidi"/>
          <w:b/>
          <w:bCs/>
          <w:rtl/>
        </w:rPr>
      </w:pPr>
    </w:p>
    <w:p w14:paraId="7F817BC5" w14:textId="77777777" w:rsidR="009A208E" w:rsidRPr="00E07713" w:rsidRDefault="00DD686B" w:rsidP="00E07713">
      <w:pPr>
        <w:spacing w:line="276" w:lineRule="auto"/>
        <w:ind w:left="26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>ב. תוכן הקורס:</w:t>
      </w:r>
    </w:p>
    <w:p w14:paraId="25763EE3" w14:textId="0B871F93" w:rsidR="0064775D" w:rsidRPr="00E07713" w:rsidRDefault="006C0BBA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>רציונל, נושאים:</w:t>
      </w:r>
      <w:r w:rsidRPr="00E07713">
        <w:rPr>
          <w:rFonts w:asciiTheme="majorBidi" w:hAnsiTheme="majorBidi" w:cstheme="majorBidi"/>
          <w:rtl/>
        </w:rPr>
        <w:t xml:space="preserve"> </w:t>
      </w:r>
    </w:p>
    <w:p w14:paraId="3EE04A9A" w14:textId="7B115CE9" w:rsidR="00932E05" w:rsidRPr="00E07713" w:rsidRDefault="003E4968" w:rsidP="00E07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rtl/>
          <w:lang w:bidi="he"/>
        </w:rPr>
      </w:pPr>
      <w:r w:rsidRPr="00E07713">
        <w:rPr>
          <w:rFonts w:asciiTheme="majorBidi" w:hAnsiTheme="majorBidi" w:cstheme="majorBidi"/>
          <w:rtl/>
        </w:rPr>
        <w:t xml:space="preserve"> הקורס עוסק בצורות שונות לניתוח תרבות מפרספקטיבות פמיניסטיות. </w:t>
      </w:r>
      <w:r w:rsidR="00776484" w:rsidRPr="00E07713">
        <w:rPr>
          <w:rFonts w:asciiTheme="majorBidi" w:hAnsiTheme="majorBidi" w:cstheme="majorBidi"/>
          <w:rtl/>
        </w:rPr>
        <w:t xml:space="preserve">הוא מציג מניפה של עמדות תיאורטיות שונות תוך דגש על הנחות היסוד השונות וכיצד הנחות אלו מעצבות תפיסות שונות עודות המטרות של ניתוח התרבות פמיניסטים והכלים המרכזיים לניתוח. </w:t>
      </w:r>
    </w:p>
    <w:p w14:paraId="3D9AD9C0" w14:textId="77777777" w:rsidR="00241D56" w:rsidRPr="00E07713" w:rsidRDefault="00241D56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</w:p>
    <w:p w14:paraId="78A0727D" w14:textId="2BE40C8D" w:rsidR="00DD686B" w:rsidRPr="00E07713" w:rsidRDefault="00DD686B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>מהלך השיעורים:</w:t>
      </w:r>
      <w:r w:rsidR="00D00179" w:rsidRPr="00E07713">
        <w:rPr>
          <w:rFonts w:asciiTheme="majorBidi" w:hAnsiTheme="majorBidi" w:cstheme="majorBidi"/>
          <w:rtl/>
        </w:rPr>
        <w:t xml:space="preserve"> </w:t>
      </w:r>
      <w:r w:rsidR="00776484" w:rsidRPr="00E07713">
        <w:rPr>
          <w:rFonts w:asciiTheme="majorBidi" w:hAnsiTheme="majorBidi" w:cstheme="majorBidi"/>
          <w:rtl/>
        </w:rPr>
        <w:t xml:space="preserve">השיעור משלב הרצאות כיתתיות, דיונים בקבוצות קטנות, קריאה מודרכת בטקסטים וניתוח של טקסטים תרבותיים. </w:t>
      </w:r>
    </w:p>
    <w:p w14:paraId="3E551A26" w14:textId="77777777" w:rsidR="0064775D" w:rsidRPr="00E07713" w:rsidRDefault="0064775D" w:rsidP="00E07713">
      <w:pPr>
        <w:spacing w:line="276" w:lineRule="auto"/>
        <w:jc w:val="both"/>
        <w:rPr>
          <w:rFonts w:asciiTheme="majorBidi" w:hAnsiTheme="majorBidi" w:cstheme="majorBidi"/>
          <w:rtl/>
        </w:rPr>
      </w:pPr>
    </w:p>
    <w:p w14:paraId="61D8FDA4" w14:textId="479F1F0B" w:rsidR="00DD686B" w:rsidRPr="00E07713" w:rsidRDefault="00DD686B" w:rsidP="00E07713">
      <w:pPr>
        <w:spacing w:line="276" w:lineRule="auto"/>
        <w:ind w:left="26"/>
        <w:jc w:val="both"/>
        <w:rPr>
          <w:rFonts w:asciiTheme="majorBidi" w:hAnsiTheme="majorBidi" w:cstheme="majorBidi"/>
          <w:rtl/>
        </w:rPr>
      </w:pPr>
      <w:r w:rsidRPr="00E07713">
        <w:rPr>
          <w:rFonts w:asciiTheme="majorBidi" w:hAnsiTheme="majorBidi" w:cstheme="majorBidi"/>
          <w:b/>
          <w:bCs/>
          <w:rtl/>
        </w:rPr>
        <w:t xml:space="preserve">תכנית הוראה מפורטת לכל השיעורים: </w:t>
      </w:r>
    </w:p>
    <w:p w14:paraId="5C87749D" w14:textId="77777777" w:rsidR="006C0BBA" w:rsidRPr="00E07713" w:rsidRDefault="006C0BBA" w:rsidP="00E07713">
      <w:pPr>
        <w:spacing w:line="276" w:lineRule="auto"/>
        <w:rPr>
          <w:rFonts w:asciiTheme="majorBidi" w:hAnsiTheme="majorBidi" w:cstheme="majorBidi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3C070F" w:rsidRPr="00E07713" w14:paraId="4AD2DD5C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5391846C" w14:textId="77777777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14:paraId="109217D3" w14:textId="77777777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נושא השיעור</w:t>
            </w:r>
          </w:p>
        </w:tc>
        <w:tc>
          <w:tcPr>
            <w:tcW w:w="1980" w:type="dxa"/>
            <w:shd w:val="clear" w:color="auto" w:fill="auto"/>
          </w:tcPr>
          <w:p w14:paraId="4FA8C567" w14:textId="3E76CCCD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קרי</w:t>
            </w:r>
            <w:r w:rsidR="00E07713">
              <w:rPr>
                <w:rFonts w:asciiTheme="majorBidi" w:hAnsiTheme="majorBidi" w:cstheme="majorBidi" w:hint="cs"/>
                <w:rtl/>
              </w:rPr>
              <w:t>א</w:t>
            </w:r>
            <w:r w:rsidRPr="00E07713">
              <w:rPr>
                <w:rFonts w:asciiTheme="majorBidi" w:hAnsiTheme="majorBidi" w:cstheme="majorBidi"/>
                <w:rtl/>
              </w:rPr>
              <w:t>ה נדרשת</w:t>
            </w:r>
          </w:p>
        </w:tc>
        <w:tc>
          <w:tcPr>
            <w:tcW w:w="1980" w:type="dxa"/>
            <w:shd w:val="clear" w:color="auto" w:fill="auto"/>
          </w:tcPr>
          <w:p w14:paraId="18A9F2C3" w14:textId="77777777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 xml:space="preserve"> הערות</w:t>
            </w:r>
          </w:p>
        </w:tc>
      </w:tr>
      <w:tr w:rsidR="003C070F" w:rsidRPr="00E07713" w14:paraId="498A6B33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1682E6F2" w14:textId="66C247D9" w:rsidR="00DD686B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14:paraId="36E28132" w14:textId="77777777" w:rsidR="00DD686B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מבוא: מהי תרבות, רמות שונות של ביקורת תרבות. פמיניזם וביקורת</w:t>
            </w:r>
          </w:p>
        </w:tc>
        <w:tc>
          <w:tcPr>
            <w:tcW w:w="1980" w:type="dxa"/>
            <w:shd w:val="clear" w:color="auto" w:fill="auto"/>
          </w:tcPr>
          <w:p w14:paraId="2A83263E" w14:textId="77777777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shd w:val="clear" w:color="auto" w:fill="auto"/>
          </w:tcPr>
          <w:p w14:paraId="045EF284" w14:textId="77777777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3C070F" w:rsidRPr="00E07713" w14:paraId="3A7EC3A3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5E3F54AC" w14:textId="10A9D5C1" w:rsidR="00DD686B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lastRenderedPageBreak/>
              <w:t>2-3</w:t>
            </w:r>
          </w:p>
        </w:tc>
        <w:tc>
          <w:tcPr>
            <w:tcW w:w="2178" w:type="dxa"/>
            <w:shd w:val="clear" w:color="auto" w:fill="auto"/>
          </w:tcPr>
          <w:p w14:paraId="3EA03FD3" w14:textId="77958B8A" w:rsidR="00DD686B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 xml:space="preserve">ביקורת פמיניסטית </w:t>
            </w:r>
            <w:r w:rsidR="00776484" w:rsidRPr="00E07713">
              <w:rPr>
                <w:rFonts w:asciiTheme="majorBidi" w:hAnsiTheme="majorBidi" w:cstheme="majorBidi"/>
                <w:rtl/>
              </w:rPr>
              <w:t xml:space="preserve"> ופנומנולוגיה </w:t>
            </w:r>
          </w:p>
        </w:tc>
        <w:tc>
          <w:tcPr>
            <w:tcW w:w="1980" w:type="dxa"/>
            <w:shd w:val="clear" w:color="auto" w:fill="auto"/>
          </w:tcPr>
          <w:p w14:paraId="24BD465D" w14:textId="77777777" w:rsidR="00DD686B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דה בובואר</w:t>
            </w:r>
          </w:p>
        </w:tc>
        <w:tc>
          <w:tcPr>
            <w:tcW w:w="1980" w:type="dxa"/>
            <w:shd w:val="clear" w:color="auto" w:fill="auto"/>
          </w:tcPr>
          <w:p w14:paraId="0C4126EB" w14:textId="77777777" w:rsidR="00DD686B" w:rsidRPr="00E07713" w:rsidRDefault="00DD686B" w:rsidP="00E0771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3C070F" w:rsidRPr="00E07713" w14:paraId="0A7022D1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2C241BE2" w14:textId="7D662973" w:rsidR="00DD686B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4-8</w:t>
            </w:r>
          </w:p>
        </w:tc>
        <w:tc>
          <w:tcPr>
            <w:tcW w:w="2178" w:type="dxa"/>
            <w:shd w:val="clear" w:color="auto" w:fill="auto"/>
          </w:tcPr>
          <w:p w14:paraId="004E7483" w14:textId="77777777" w:rsidR="00DD686B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 w:rsidRPr="00E07713">
              <w:rPr>
                <w:rFonts w:asciiTheme="majorBidi" w:hAnsiTheme="majorBidi" w:cstheme="majorBidi"/>
                <w:rtl/>
              </w:rPr>
              <w:t>ביקורת מרקסיסטית ומטריאליסטית</w:t>
            </w:r>
          </w:p>
        </w:tc>
        <w:tc>
          <w:tcPr>
            <w:tcW w:w="1980" w:type="dxa"/>
            <w:shd w:val="clear" w:color="auto" w:fill="auto"/>
          </w:tcPr>
          <w:p w14:paraId="5CD87D09" w14:textId="6C27FAF6" w:rsidR="00DD686B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E07713">
              <w:rPr>
                <w:rFonts w:asciiTheme="majorBidi" w:hAnsiTheme="majorBidi" w:cstheme="majorBidi"/>
                <w:rtl/>
              </w:rPr>
              <w:t>אלתוסר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,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פייטמן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, </w:t>
            </w:r>
            <w:proofErr w:type="spellStart"/>
            <w:r w:rsidR="00284628" w:rsidRPr="00E07713">
              <w:rPr>
                <w:rFonts w:asciiTheme="majorBidi" w:hAnsiTheme="majorBidi" w:cstheme="majorBidi"/>
                <w:rtl/>
              </w:rPr>
              <w:t>פרייזר</w:t>
            </w:r>
            <w:proofErr w:type="spellEnd"/>
            <w:r w:rsidR="00284628" w:rsidRPr="00E07713">
              <w:rPr>
                <w:rFonts w:asciiTheme="majorBidi" w:hAnsiTheme="majorBidi" w:cstheme="majorBidi"/>
                <w:rtl/>
              </w:rPr>
              <w:t xml:space="preserve">, </w:t>
            </w:r>
            <w:r w:rsidRPr="00E07713">
              <w:rPr>
                <w:rFonts w:asciiTheme="majorBidi" w:hAnsiTheme="majorBidi" w:cstheme="majorBidi"/>
                <w:rtl/>
              </w:rPr>
              <w:t xml:space="preserve">קרול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סילבי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 ושות..</w:t>
            </w:r>
          </w:p>
        </w:tc>
        <w:tc>
          <w:tcPr>
            <w:tcW w:w="1980" w:type="dxa"/>
            <w:shd w:val="clear" w:color="auto" w:fill="auto"/>
          </w:tcPr>
          <w:p w14:paraId="7841ABFE" w14:textId="5C862FD3" w:rsidR="00DD686B" w:rsidRPr="00E07713" w:rsidRDefault="00E07713" w:rsidP="00E0771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קריאת רשות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גרמשי</w:t>
            </w:r>
            <w:proofErr w:type="spellEnd"/>
          </w:p>
        </w:tc>
      </w:tr>
      <w:tr w:rsidR="00031A72" w:rsidRPr="00E07713" w14:paraId="6AC1047F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0AF46300" w14:textId="750C060A" w:rsidR="00031A72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9-12</w:t>
            </w:r>
          </w:p>
        </w:tc>
        <w:tc>
          <w:tcPr>
            <w:tcW w:w="2178" w:type="dxa"/>
            <w:shd w:val="clear" w:color="auto" w:fill="auto"/>
          </w:tcPr>
          <w:p w14:paraId="5C86BDE1" w14:textId="77777777" w:rsidR="00031A72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אפיסטמולוגיה פמיניסטית</w:t>
            </w:r>
          </w:p>
        </w:tc>
        <w:tc>
          <w:tcPr>
            <w:tcW w:w="1980" w:type="dxa"/>
            <w:shd w:val="clear" w:color="auto" w:fill="auto"/>
          </w:tcPr>
          <w:p w14:paraId="382F5A7F" w14:textId="77777777" w:rsidR="00031A72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proofErr w:type="spellStart"/>
            <w:r w:rsidRPr="00E07713">
              <w:rPr>
                <w:rFonts w:asciiTheme="majorBidi" w:hAnsiTheme="majorBidi" w:cstheme="majorBidi"/>
                <w:rtl/>
              </w:rPr>
              <w:t>הרדינג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, 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פריקר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טאונה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 קוד</w:t>
            </w:r>
          </w:p>
        </w:tc>
        <w:tc>
          <w:tcPr>
            <w:tcW w:w="1980" w:type="dxa"/>
            <w:shd w:val="clear" w:color="auto" w:fill="auto"/>
          </w:tcPr>
          <w:p w14:paraId="0BAF9A59" w14:textId="77777777" w:rsidR="00031A72" w:rsidRPr="00E07713" w:rsidRDefault="00031A72" w:rsidP="00E0771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31A72" w:rsidRPr="00E07713" w14:paraId="6EF968DC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09D676DF" w14:textId="2C57BFF9" w:rsidR="00031A72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13-16</w:t>
            </w:r>
          </w:p>
        </w:tc>
        <w:tc>
          <w:tcPr>
            <w:tcW w:w="2178" w:type="dxa"/>
            <w:shd w:val="clear" w:color="auto" w:fill="auto"/>
          </w:tcPr>
          <w:p w14:paraId="039B10B9" w14:textId="77777777" w:rsidR="00031A72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ביקורת פוסטקולוניאלית</w:t>
            </w:r>
          </w:p>
        </w:tc>
        <w:tc>
          <w:tcPr>
            <w:tcW w:w="1980" w:type="dxa"/>
            <w:shd w:val="clear" w:color="auto" w:fill="auto"/>
          </w:tcPr>
          <w:p w14:paraId="6EDD3629" w14:textId="77777777" w:rsidR="00031A72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proofErr w:type="spellStart"/>
            <w:r w:rsidRPr="00E07713">
              <w:rPr>
                <w:rFonts w:asciiTheme="majorBidi" w:hAnsiTheme="majorBidi" w:cstheme="majorBidi"/>
                <w:rtl/>
              </w:rPr>
              <w:t>מוהנטי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,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אנזלדואה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>, מחמוד</w:t>
            </w:r>
          </w:p>
        </w:tc>
        <w:tc>
          <w:tcPr>
            <w:tcW w:w="1980" w:type="dxa"/>
            <w:shd w:val="clear" w:color="auto" w:fill="auto"/>
          </w:tcPr>
          <w:p w14:paraId="3773C280" w14:textId="77777777" w:rsidR="00031A72" w:rsidRPr="00E07713" w:rsidRDefault="00031A72" w:rsidP="00E0771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84030" w:rsidRPr="00E07713" w14:paraId="5141B1A7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7138C13F" w14:textId="7DDB1362" w:rsidR="00284030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17-19</w:t>
            </w:r>
          </w:p>
        </w:tc>
        <w:tc>
          <w:tcPr>
            <w:tcW w:w="2178" w:type="dxa"/>
            <w:shd w:val="clear" w:color="auto" w:fill="auto"/>
          </w:tcPr>
          <w:p w14:paraId="295A7B82" w14:textId="77777777" w:rsidR="00284030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ביקורת הידע/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כח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F40FA2E" w14:textId="77777777" w:rsidR="00284030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 xml:space="preserve">פוקו,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ברטקי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הייס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ACA62EB" w14:textId="77777777" w:rsidR="00284030" w:rsidRPr="00E07713" w:rsidRDefault="00284030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41D56" w:rsidRPr="00E07713" w14:paraId="37F757C5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60493D2A" w14:textId="7C19A202" w:rsidR="00241D56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20-21</w:t>
            </w:r>
          </w:p>
        </w:tc>
        <w:tc>
          <w:tcPr>
            <w:tcW w:w="2178" w:type="dxa"/>
            <w:shd w:val="clear" w:color="auto" w:fill="auto"/>
          </w:tcPr>
          <w:p w14:paraId="74BC6ADE" w14:textId="77777777" w:rsidR="00241D56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proofErr w:type="spellStart"/>
            <w:r w:rsidRPr="00E07713">
              <w:rPr>
                <w:rFonts w:asciiTheme="majorBidi" w:hAnsiTheme="majorBidi" w:cstheme="majorBidi"/>
                <w:rtl/>
              </w:rPr>
              <w:t>פרפורמטיביות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B5CB517" w14:textId="77777777" w:rsidR="00241D56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proofErr w:type="spellStart"/>
            <w:r w:rsidRPr="00E07713">
              <w:rPr>
                <w:rFonts w:asciiTheme="majorBidi" w:hAnsiTheme="majorBidi" w:cstheme="majorBidi"/>
                <w:rtl/>
              </w:rPr>
              <w:t>באטלר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E9C29AB" w14:textId="77777777" w:rsidR="00241D56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41D56" w:rsidRPr="00E07713" w14:paraId="31F66FBB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26EEE175" w14:textId="4BEF8B2A" w:rsidR="00241D56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22-23</w:t>
            </w:r>
          </w:p>
        </w:tc>
        <w:tc>
          <w:tcPr>
            <w:tcW w:w="2178" w:type="dxa"/>
            <w:shd w:val="clear" w:color="auto" w:fill="auto"/>
          </w:tcPr>
          <w:p w14:paraId="354C0485" w14:textId="77777777" w:rsidR="00241D56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 xml:space="preserve">ביקורת פסיכואנליטית ושפה-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פאלוצנטריות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05632F1" w14:textId="44FD0320" w:rsidR="00241D56" w:rsidRPr="00E07713" w:rsidRDefault="00241D56" w:rsidP="00E0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rtl/>
                <w:lang w:bidi="he"/>
              </w:rPr>
            </w:pPr>
            <w:proofErr w:type="spellStart"/>
            <w:r w:rsidRPr="00E07713">
              <w:rPr>
                <w:rFonts w:asciiTheme="majorBidi" w:hAnsiTheme="majorBidi" w:cstheme="majorBidi"/>
                <w:rtl/>
              </w:rPr>
              <w:t>קריסטבה</w:t>
            </w:r>
            <w:proofErr w:type="spellEnd"/>
            <w:r w:rsidRPr="00E07713">
              <w:rPr>
                <w:rFonts w:asciiTheme="majorBidi" w:hAnsiTheme="majorBidi" w:cstheme="majorBidi"/>
                <w:rtl/>
              </w:rPr>
              <w:t>,</w:t>
            </w:r>
            <w:r w:rsidRPr="00E07713">
              <w:rPr>
                <w:rFonts w:asciiTheme="majorBidi" w:hAnsiTheme="majorBidi" w:cstheme="majorBidi"/>
                <w:rtl/>
                <w:lang w:bidi="he"/>
              </w:rPr>
              <w:t xml:space="preserve"> </w:t>
            </w:r>
            <w:proofErr w:type="spellStart"/>
            <w:r w:rsidRPr="00E07713">
              <w:rPr>
                <w:rFonts w:asciiTheme="majorBidi" w:hAnsiTheme="majorBidi" w:cstheme="majorBidi"/>
                <w:rtl/>
              </w:rPr>
              <w:t>פלמן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9EB5AF4" w14:textId="77777777" w:rsidR="00B76D36" w:rsidRDefault="00B76D36" w:rsidP="00B7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קריאת רשות </w:t>
            </w:r>
            <w:r w:rsidRPr="00E07713">
              <w:rPr>
                <w:rFonts w:asciiTheme="majorBidi" w:hAnsiTheme="majorBidi" w:cstheme="majorBidi"/>
                <w:rtl/>
              </w:rPr>
              <w:t>פרויד</w:t>
            </w:r>
          </w:p>
          <w:p w14:paraId="45ED0C1C" w14:textId="550D3F65" w:rsidR="00241D56" w:rsidRPr="00E07713" w:rsidRDefault="00241D56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776484" w:rsidRPr="00E07713" w14:paraId="1AF9300B" w14:textId="77777777" w:rsidTr="003C070F">
        <w:trPr>
          <w:jc w:val="center"/>
        </w:trPr>
        <w:tc>
          <w:tcPr>
            <w:tcW w:w="1349" w:type="dxa"/>
            <w:shd w:val="clear" w:color="auto" w:fill="auto"/>
          </w:tcPr>
          <w:p w14:paraId="3BF738DF" w14:textId="799FFD70" w:rsidR="00776484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2178" w:type="dxa"/>
            <w:shd w:val="clear" w:color="auto" w:fill="auto"/>
          </w:tcPr>
          <w:p w14:paraId="164D86C0" w14:textId="634EDDD8" w:rsidR="00776484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E07713">
              <w:rPr>
                <w:rFonts w:asciiTheme="majorBidi" w:hAnsiTheme="majorBidi" w:cstheme="majorBidi"/>
                <w:rtl/>
              </w:rPr>
              <w:t>סיכום</w:t>
            </w:r>
          </w:p>
        </w:tc>
        <w:tc>
          <w:tcPr>
            <w:tcW w:w="1980" w:type="dxa"/>
            <w:shd w:val="clear" w:color="auto" w:fill="auto"/>
          </w:tcPr>
          <w:p w14:paraId="37372F05" w14:textId="77777777" w:rsidR="00776484" w:rsidRPr="00E07713" w:rsidRDefault="00776484" w:rsidP="00E07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5B13A04A" w14:textId="77777777" w:rsidR="00776484" w:rsidRPr="00E07713" w:rsidRDefault="00776484" w:rsidP="00E0771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p w14:paraId="56291F71" w14:textId="77777777" w:rsidR="007762FE" w:rsidRPr="00E07713" w:rsidRDefault="007762FE" w:rsidP="00E07713">
      <w:pPr>
        <w:spacing w:line="276" w:lineRule="auto"/>
        <w:ind w:left="26"/>
        <w:rPr>
          <w:rFonts w:asciiTheme="majorBidi" w:hAnsiTheme="majorBidi" w:cstheme="majorBidi"/>
        </w:rPr>
      </w:pPr>
    </w:p>
    <w:p w14:paraId="02A808F9" w14:textId="77777777" w:rsidR="007916EC" w:rsidRPr="003C070F" w:rsidRDefault="006C0BBA" w:rsidP="007762FE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ג. </w:t>
      </w:r>
      <w:r w:rsidR="00DD686B" w:rsidRPr="003C070F">
        <w:rPr>
          <w:b/>
          <w:bCs/>
          <w:sz w:val="28"/>
          <w:szCs w:val="28"/>
          <w:rtl/>
        </w:rPr>
        <w:t>דרישות קדם</w:t>
      </w:r>
      <w:r w:rsidRPr="003C070F">
        <w:rPr>
          <w:b/>
          <w:bCs/>
          <w:sz w:val="28"/>
          <w:szCs w:val="28"/>
          <w:rtl/>
        </w:rPr>
        <w:t>:</w:t>
      </w:r>
      <w:r w:rsidR="002935ED" w:rsidRPr="003C070F">
        <w:rPr>
          <w:sz w:val="28"/>
          <w:szCs w:val="28"/>
          <w:rtl/>
        </w:rPr>
        <w:t xml:space="preserve"> </w:t>
      </w:r>
    </w:p>
    <w:p w14:paraId="036CE08C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rPr>
          <w:rtl/>
          <w:lang w:bidi="he"/>
        </w:rPr>
      </w:pPr>
      <w:r>
        <w:rPr>
          <w:rtl/>
        </w:rPr>
        <w:t xml:space="preserve">אין דרישות קדם. </w:t>
      </w:r>
    </w:p>
    <w:p w14:paraId="02EF1529" w14:textId="77777777" w:rsidR="006C0BBA" w:rsidRPr="003C070F" w:rsidRDefault="006C0BBA" w:rsidP="0064775D">
      <w:pPr>
        <w:spacing w:line="360" w:lineRule="auto"/>
        <w:ind w:left="26"/>
        <w:jc w:val="both"/>
        <w:rPr>
          <w:sz w:val="28"/>
          <w:szCs w:val="28"/>
        </w:rPr>
      </w:pPr>
    </w:p>
    <w:p w14:paraId="290B7624" w14:textId="77777777" w:rsidR="002262E8" w:rsidRPr="003C070F" w:rsidRDefault="004D0B76" w:rsidP="007762FE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ד. </w:t>
      </w:r>
      <w:r w:rsidR="00DD686B" w:rsidRPr="003C070F">
        <w:rPr>
          <w:b/>
          <w:bCs/>
          <w:sz w:val="28"/>
          <w:szCs w:val="28"/>
          <w:rtl/>
        </w:rPr>
        <w:t>חובות / דרישות / מטלות:</w:t>
      </w:r>
    </w:p>
    <w:p w14:paraId="37C00CC4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rPr>
          <w:rtl/>
          <w:lang w:bidi="he"/>
        </w:rPr>
      </w:pPr>
      <w:r>
        <w:rPr>
          <w:rtl/>
        </w:rPr>
        <w:t xml:space="preserve">השתתפות. קריאה משיעור לשיעור. מטלות (מטלת אמצע + מטלת סיום קורס).  </w:t>
      </w:r>
    </w:p>
    <w:p w14:paraId="5DB67BF1" w14:textId="77777777" w:rsidR="002262E8" w:rsidRPr="003C070F" w:rsidRDefault="002262E8" w:rsidP="0064775D">
      <w:pPr>
        <w:spacing w:line="360" w:lineRule="auto"/>
        <w:jc w:val="both"/>
        <w:rPr>
          <w:sz w:val="28"/>
          <w:szCs w:val="28"/>
          <w:rtl/>
        </w:rPr>
      </w:pPr>
    </w:p>
    <w:p w14:paraId="3CBDA3FE" w14:textId="77777777" w:rsidR="007762FE" w:rsidRPr="003C070F" w:rsidRDefault="002262E8" w:rsidP="007762FE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ה. </w:t>
      </w:r>
      <w:r w:rsidR="00DD686B" w:rsidRPr="003C070F">
        <w:rPr>
          <w:b/>
          <w:bCs/>
          <w:sz w:val="28"/>
          <w:szCs w:val="28"/>
          <w:rtl/>
        </w:rPr>
        <w:t>מרכיבי הציון הסופי</w:t>
      </w:r>
      <w:r w:rsidRPr="003C070F">
        <w:rPr>
          <w:b/>
          <w:bCs/>
          <w:sz w:val="28"/>
          <w:szCs w:val="28"/>
          <w:rtl/>
        </w:rPr>
        <w:t>:</w:t>
      </w:r>
    </w:p>
    <w:p w14:paraId="52492023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ind w:left="220" w:firstLine="20"/>
        <w:rPr>
          <w:rtl/>
          <w:lang w:bidi="he"/>
        </w:rPr>
      </w:pPr>
      <w:r>
        <w:rPr>
          <w:rtl/>
        </w:rPr>
        <w:t xml:space="preserve">מטלת אמצע (50%) עבודת סיום קורס (50%). בונוס רשות: פרזנטציה של ניתוח בכיתה עד </w:t>
      </w:r>
      <w:r>
        <w:rPr>
          <w:rFonts w:hint="cs"/>
          <w:rtl/>
        </w:rPr>
        <w:t>5</w:t>
      </w:r>
      <w:r>
        <w:rPr>
          <w:rtl/>
        </w:rPr>
        <w:t xml:space="preserve"> נקודות (לפי שיקול המרצה).</w:t>
      </w:r>
    </w:p>
    <w:p w14:paraId="5A62C8E3" w14:textId="77777777" w:rsidR="0064775D" w:rsidRPr="003C070F" w:rsidRDefault="0064775D" w:rsidP="0064775D">
      <w:pPr>
        <w:spacing w:line="360" w:lineRule="auto"/>
        <w:jc w:val="both"/>
        <w:rPr>
          <w:sz w:val="28"/>
          <w:szCs w:val="28"/>
          <w:rtl/>
          <w:lang w:bidi="he"/>
        </w:rPr>
      </w:pPr>
    </w:p>
    <w:p w14:paraId="1AC19511" w14:textId="4ACCC7F5" w:rsidR="007762FE" w:rsidRDefault="007762FE" w:rsidP="007762FE">
      <w:pPr>
        <w:spacing w:line="360" w:lineRule="auto"/>
        <w:ind w:left="26"/>
        <w:rPr>
          <w:b/>
          <w:bCs/>
          <w:color w:val="000000"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ו</w:t>
      </w:r>
      <w:r w:rsidR="00DD686B" w:rsidRPr="003C070F">
        <w:rPr>
          <w:b/>
          <w:bCs/>
          <w:sz w:val="28"/>
          <w:szCs w:val="28"/>
          <w:rtl/>
        </w:rPr>
        <w:t>. ביבליוגרפיה</w:t>
      </w:r>
      <w:r w:rsidR="00DD686B" w:rsidRPr="003C070F">
        <w:rPr>
          <w:b/>
          <w:bCs/>
          <w:color w:val="000000"/>
          <w:sz w:val="28"/>
          <w:szCs w:val="28"/>
          <w:rtl/>
        </w:rPr>
        <w:t>:</w:t>
      </w:r>
    </w:p>
    <w:p w14:paraId="2D1FD972" w14:textId="479DB589" w:rsidR="00284628" w:rsidRPr="00284628" w:rsidRDefault="00284628" w:rsidP="007762FE">
      <w:pPr>
        <w:spacing w:line="360" w:lineRule="auto"/>
        <w:ind w:left="26"/>
        <w:rPr>
          <w:color w:val="000000"/>
          <w:rtl/>
        </w:rPr>
      </w:pPr>
      <w:r w:rsidRPr="00284628">
        <w:rPr>
          <w:rFonts w:hint="cs"/>
          <w:rtl/>
        </w:rPr>
        <w:t>* הפריטים המסומנים בכוכבית הם קריאת רשות</w:t>
      </w:r>
    </w:p>
    <w:p w14:paraId="0F807689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rPr>
          <w:u w:val="single"/>
          <w:rtl/>
          <w:lang w:bidi="he"/>
        </w:rPr>
      </w:pPr>
      <w:r>
        <w:rPr>
          <w:u w:val="single"/>
          <w:rtl/>
        </w:rPr>
        <w:t>ביקורת חלוצית</w:t>
      </w:r>
    </w:p>
    <w:p w14:paraId="4E501293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rPr>
          <w:rtl/>
          <w:lang w:bidi="he"/>
        </w:rPr>
      </w:pPr>
      <w:r>
        <w:rPr>
          <w:rtl/>
        </w:rPr>
        <w:t xml:space="preserve">דה-בובאר, סימון,  "הקדמה", </w:t>
      </w:r>
      <w:r>
        <w:rPr>
          <w:i/>
          <w:rtl/>
        </w:rPr>
        <w:t>המין השני,</w:t>
      </w:r>
      <w:r>
        <w:rPr>
          <w:rtl/>
        </w:rPr>
        <w:t xml:space="preserve"> תרגום מצרפתית: שרון </w:t>
      </w:r>
      <w:proofErr w:type="spellStart"/>
      <w:r>
        <w:rPr>
          <w:rtl/>
        </w:rPr>
        <w:t>פרמינגר</w:t>
      </w:r>
      <w:proofErr w:type="spellEnd"/>
      <w:r>
        <w:rPr>
          <w:rtl/>
        </w:rPr>
        <w:t xml:space="preserve"> (תל אביב: בבל, 2001), עמ' 9-27.</w:t>
      </w:r>
    </w:p>
    <w:p w14:paraId="70E58311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rPr>
          <w:rtl/>
          <w:lang w:bidi="he"/>
        </w:rPr>
      </w:pPr>
      <w:r>
        <w:rPr>
          <w:rtl/>
        </w:rPr>
        <w:t xml:space="preserve">---"המאוהבת", </w:t>
      </w:r>
      <w:r>
        <w:rPr>
          <w:i/>
          <w:rtl/>
        </w:rPr>
        <w:t>המין השני</w:t>
      </w:r>
      <w:r>
        <w:rPr>
          <w:rtl/>
        </w:rPr>
        <w:t xml:space="preserve">, תרגום מצרפתית: שרון </w:t>
      </w:r>
      <w:proofErr w:type="spellStart"/>
      <w:r>
        <w:rPr>
          <w:rtl/>
        </w:rPr>
        <w:t>פרמינגר</w:t>
      </w:r>
      <w:proofErr w:type="spellEnd"/>
      <w:r>
        <w:rPr>
          <w:rtl/>
        </w:rPr>
        <w:t xml:space="preserve"> (תל אביב: בבל, 2001), עמ' 549-584.</w:t>
      </w:r>
    </w:p>
    <w:p w14:paraId="2FE21212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u w:val="single"/>
          <w:rtl/>
          <w:lang w:bidi="he"/>
        </w:rPr>
      </w:pPr>
      <w:r>
        <w:rPr>
          <w:u w:val="single"/>
          <w:rtl/>
        </w:rPr>
        <w:t>ביקורת מרקסיסטית</w:t>
      </w:r>
    </w:p>
    <w:p w14:paraId="0EDC0FCA" w14:textId="7A3E259A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tl/>
          <w:lang w:bidi="he"/>
        </w:rPr>
      </w:pPr>
      <w:r>
        <w:rPr>
          <w:rtl/>
        </w:rPr>
        <w:t>*</w:t>
      </w:r>
      <w:proofErr w:type="spellStart"/>
      <w:r>
        <w:rPr>
          <w:rtl/>
        </w:rPr>
        <w:t>גרמשי</w:t>
      </w:r>
      <w:proofErr w:type="spellEnd"/>
      <w:r w:rsidR="00E07713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אנתוניו</w:t>
      </w:r>
      <w:proofErr w:type="spellEnd"/>
      <w:r w:rsidR="00E07713">
        <w:rPr>
          <w:rFonts w:hint="cs"/>
          <w:rtl/>
        </w:rPr>
        <w:t>.</w:t>
      </w:r>
      <w:r>
        <w:rPr>
          <w:rtl/>
        </w:rPr>
        <w:t xml:space="preserve"> </w:t>
      </w:r>
      <w:r w:rsidRPr="00E07713">
        <w:rPr>
          <w:i/>
          <w:iCs/>
          <w:rtl/>
        </w:rPr>
        <w:t>על ההגמוניה: מבחר מתוך מחברות הכלא</w:t>
      </w:r>
      <w:r>
        <w:rPr>
          <w:rtl/>
        </w:rPr>
        <w:t xml:space="preserve">, </w:t>
      </w:r>
      <w:r w:rsidR="00D66B99">
        <w:rPr>
          <w:rFonts w:hint="cs"/>
          <w:rtl/>
        </w:rPr>
        <w:t>(תל אביב:</w:t>
      </w:r>
      <w:r w:rsidR="00D66B99">
        <w:rPr>
          <w:rFonts w:hint="cs"/>
        </w:rPr>
        <w:t xml:space="preserve"> </w:t>
      </w:r>
      <w:r w:rsidR="000C70A8">
        <w:rPr>
          <w:rFonts w:hint="cs"/>
          <w:rtl/>
        </w:rPr>
        <w:t xml:space="preserve">הוצאת </w:t>
      </w:r>
      <w:r>
        <w:rPr>
          <w:rtl/>
        </w:rPr>
        <w:t>רסלינג 2009</w:t>
      </w:r>
      <w:r w:rsidR="00D66B99">
        <w:rPr>
          <w:rFonts w:hint="cs"/>
          <w:rtl/>
          <w:lang w:bidi="he"/>
        </w:rPr>
        <w:t>),</w:t>
      </w:r>
      <w:r w:rsidR="00E07713">
        <w:rPr>
          <w:rFonts w:hint="cs"/>
          <w:rtl/>
          <w:lang w:bidi="he"/>
        </w:rPr>
        <w:t xml:space="preserve"> עמ'</w:t>
      </w:r>
    </w:p>
    <w:p w14:paraId="5F69814D" w14:textId="14BB89A9" w:rsidR="00E07713" w:rsidRDefault="00E07713" w:rsidP="00241D5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hint="cs"/>
          <w:rtl/>
        </w:rPr>
      </w:pPr>
      <w:proofErr w:type="spellStart"/>
      <w:r>
        <w:rPr>
          <w:rFonts w:hint="cs"/>
          <w:color w:val="000000"/>
          <w:rtl/>
        </w:rPr>
        <w:t>אלתוסר</w:t>
      </w:r>
      <w:proofErr w:type="spellEnd"/>
      <w:r>
        <w:rPr>
          <w:rFonts w:hint="cs"/>
          <w:color w:val="000000"/>
          <w:rtl/>
        </w:rPr>
        <w:t xml:space="preserve">, לואי. </w:t>
      </w:r>
      <w:r w:rsidRPr="00E07713">
        <w:rPr>
          <w:i/>
          <w:iCs/>
          <w:color w:val="000000"/>
          <w:rtl/>
        </w:rPr>
        <w:t>על האידאולוגיה, מנגנוני המדינה האידאולוגיים</w:t>
      </w:r>
      <w:r>
        <w:rPr>
          <w:color w:val="000000"/>
          <w:rtl/>
        </w:rPr>
        <w:t xml:space="preserve">, </w:t>
      </w:r>
      <w:r w:rsidR="00D66B99">
        <w:rPr>
          <w:rFonts w:hint="cs"/>
          <w:color w:val="000000"/>
          <w:rtl/>
        </w:rPr>
        <w:t xml:space="preserve">(תל </w:t>
      </w:r>
      <w:proofErr w:type="spellStart"/>
      <w:r w:rsidR="00D66B99">
        <w:rPr>
          <w:rFonts w:hint="cs"/>
          <w:color w:val="000000"/>
          <w:rtl/>
        </w:rPr>
        <w:t>אביב:</w:t>
      </w:r>
      <w:r>
        <w:rPr>
          <w:color w:val="000000"/>
          <w:rtl/>
        </w:rPr>
        <w:t>הוצאת</w:t>
      </w:r>
      <w:proofErr w:type="spellEnd"/>
      <w:r>
        <w:rPr>
          <w:color w:val="000000"/>
          <w:rtl/>
        </w:rPr>
        <w:t xml:space="preserve"> רסלינג</w:t>
      </w:r>
      <w:r w:rsidR="00D66B99">
        <w:rPr>
          <w:rFonts w:hint="cs"/>
          <w:rtl/>
        </w:rPr>
        <w:t>,  )</w:t>
      </w:r>
      <w:r w:rsidR="000C70A8">
        <w:rPr>
          <w:rFonts w:hint="cs"/>
          <w:rtl/>
        </w:rPr>
        <w:t xml:space="preserve"> עמ' 23-82</w:t>
      </w:r>
    </w:p>
    <w:p w14:paraId="2B56644B" w14:textId="7E3945E3" w:rsidR="00241D56" w:rsidRPr="0006218E" w:rsidRDefault="000C70A8" w:rsidP="000C70A8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after="120" w:line="360" w:lineRule="auto"/>
        <w:ind w:left="360"/>
        <w:jc w:val="both"/>
        <w:rPr>
          <w:lang w:bidi="he"/>
        </w:rPr>
      </w:pPr>
      <w:r>
        <w:lastRenderedPageBreak/>
        <w:t xml:space="preserve">In English: </w:t>
      </w:r>
      <w:r w:rsidR="00241D56" w:rsidRPr="0039682D">
        <w:t xml:space="preserve">Althusser Louis, "Ideology and the Ideological State Apparatuses." </w:t>
      </w:r>
      <w:proofErr w:type="spellStart"/>
      <w:r w:rsidR="00241D56">
        <w:rPr>
          <w:rtl/>
          <w:lang w:bidi="he"/>
        </w:rPr>
        <w:t>In</w:t>
      </w:r>
      <w:proofErr w:type="spellEnd"/>
      <w:r w:rsidR="00241D56">
        <w:rPr>
          <w:rtl/>
          <w:lang w:bidi="he"/>
        </w:rPr>
        <w:t xml:space="preserve">: </w:t>
      </w:r>
      <w:proofErr w:type="spellStart"/>
      <w:r w:rsidR="00241D56">
        <w:rPr>
          <w:i/>
          <w:iCs/>
          <w:rtl/>
          <w:lang w:bidi="he"/>
        </w:rPr>
        <w:t>Lenin</w:t>
      </w:r>
      <w:proofErr w:type="spellEnd"/>
      <w:r w:rsidR="00241D56">
        <w:rPr>
          <w:i/>
          <w:iCs/>
          <w:rtl/>
          <w:lang w:bidi="he"/>
        </w:rPr>
        <w:t xml:space="preserve"> </w:t>
      </w:r>
      <w:proofErr w:type="spellStart"/>
      <w:r w:rsidR="00241D56">
        <w:rPr>
          <w:i/>
          <w:iCs/>
          <w:rtl/>
          <w:lang w:bidi="he"/>
        </w:rPr>
        <w:t>and</w:t>
      </w:r>
      <w:proofErr w:type="spellEnd"/>
      <w:r w:rsidR="00241D56">
        <w:rPr>
          <w:i/>
          <w:iCs/>
          <w:rtl/>
          <w:lang w:bidi="he"/>
        </w:rPr>
        <w:t xml:space="preserve"> </w:t>
      </w:r>
      <w:proofErr w:type="spellStart"/>
      <w:r w:rsidR="00241D56">
        <w:rPr>
          <w:i/>
          <w:iCs/>
          <w:rtl/>
          <w:lang w:bidi="he"/>
        </w:rPr>
        <w:t>Philosophy</w:t>
      </w:r>
      <w:proofErr w:type="spellEnd"/>
      <w:r w:rsidR="00241D56">
        <w:rPr>
          <w:i/>
          <w:iCs/>
          <w:rtl/>
          <w:lang w:bidi="he"/>
        </w:rPr>
        <w:t xml:space="preserve">. </w:t>
      </w:r>
      <w:r w:rsidR="00241D56">
        <w:rPr>
          <w:rtl/>
          <w:lang w:bidi="he"/>
        </w:rPr>
        <w:t>(</w:t>
      </w:r>
      <w:proofErr w:type="spellStart"/>
      <w:r w:rsidR="00241D56">
        <w:rPr>
          <w:rtl/>
          <w:lang w:bidi="he"/>
        </w:rPr>
        <w:t>New</w:t>
      </w:r>
      <w:proofErr w:type="spellEnd"/>
      <w:r w:rsidR="00241D56">
        <w:rPr>
          <w:rtl/>
          <w:lang w:bidi="he"/>
        </w:rPr>
        <w:t xml:space="preserve"> </w:t>
      </w:r>
      <w:proofErr w:type="spellStart"/>
      <w:r w:rsidR="00241D56">
        <w:rPr>
          <w:rtl/>
          <w:lang w:bidi="he"/>
        </w:rPr>
        <w:t>York</w:t>
      </w:r>
      <w:proofErr w:type="spellEnd"/>
      <w:r w:rsidR="00241D56">
        <w:rPr>
          <w:rtl/>
          <w:lang w:bidi="he"/>
        </w:rPr>
        <w:t xml:space="preserve">: </w:t>
      </w:r>
      <w:proofErr w:type="spellStart"/>
      <w:r w:rsidR="00241D56">
        <w:rPr>
          <w:rtl/>
          <w:lang w:bidi="he"/>
        </w:rPr>
        <w:t>Monthly</w:t>
      </w:r>
      <w:proofErr w:type="spellEnd"/>
      <w:r w:rsidR="00241D56">
        <w:rPr>
          <w:rtl/>
          <w:lang w:bidi="he"/>
        </w:rPr>
        <w:t xml:space="preserve"> </w:t>
      </w:r>
      <w:proofErr w:type="spellStart"/>
      <w:r w:rsidR="00241D56">
        <w:rPr>
          <w:rtl/>
          <w:lang w:bidi="he"/>
        </w:rPr>
        <w:t>review</w:t>
      </w:r>
      <w:proofErr w:type="spellEnd"/>
      <w:r w:rsidR="00241D56">
        <w:rPr>
          <w:rtl/>
          <w:lang w:bidi="he"/>
        </w:rPr>
        <w:t xml:space="preserve"> </w:t>
      </w:r>
      <w:proofErr w:type="spellStart"/>
      <w:r w:rsidR="00241D56">
        <w:rPr>
          <w:rtl/>
          <w:lang w:bidi="he"/>
        </w:rPr>
        <w:t>Press</w:t>
      </w:r>
      <w:proofErr w:type="spellEnd"/>
      <w:r w:rsidR="00241D56">
        <w:rPr>
          <w:rtl/>
          <w:lang w:bidi="he"/>
        </w:rPr>
        <w:t>, 1971) 158-177</w:t>
      </w:r>
    </w:p>
    <w:p w14:paraId="53F366E4" w14:textId="22C6B97B" w:rsidR="00284628" w:rsidRPr="00284628" w:rsidRDefault="00241D56" w:rsidP="000C70A8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ind w:left="360"/>
        <w:jc w:val="both"/>
        <w:rPr>
          <w:rtl/>
        </w:rPr>
      </w:pPr>
      <w:r w:rsidRPr="0039682D">
        <w:t xml:space="preserve">Pateman Carol, "On Prostitution", </w:t>
      </w:r>
      <w:r w:rsidRPr="0039682D">
        <w:rPr>
          <w:i/>
        </w:rPr>
        <w:t>The Sexual Contract</w:t>
      </w:r>
      <w:r w:rsidRPr="0039682D">
        <w:t>, (Stanford: Stanford University Press, 1988), pp.189-218</w:t>
      </w:r>
    </w:p>
    <w:p w14:paraId="05BC9810" w14:textId="10BEA1C0" w:rsidR="00284628" w:rsidRDefault="00284628" w:rsidP="00284628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jc w:val="both"/>
        <w:rPr>
          <w:color w:val="333333"/>
        </w:rPr>
      </w:pPr>
      <w:r w:rsidRPr="00284628">
        <w:rPr>
          <w:color w:val="333333"/>
          <w:rtl/>
        </w:rPr>
        <w:t xml:space="preserve">  </w:t>
      </w:r>
      <w:r w:rsidRPr="00284628">
        <w:rPr>
          <w:color w:val="333333"/>
        </w:rPr>
        <w:t>Fraser, Nancy.</w:t>
      </w:r>
      <w:r>
        <w:rPr>
          <w:color w:val="333333"/>
        </w:rPr>
        <w:t xml:space="preserve"> "</w:t>
      </w:r>
      <w:r>
        <w:t xml:space="preserve">Feminist Politics in the Age </w:t>
      </w:r>
      <w:proofErr w:type="spellStart"/>
      <w:r>
        <w:t>o f</w:t>
      </w:r>
      <w:proofErr w:type="spellEnd"/>
      <w:r>
        <w:t xml:space="preserve"> Recognition: A Two-Dim </w:t>
      </w:r>
      <w:proofErr w:type="spellStart"/>
      <w:r>
        <w:t>ensional</w:t>
      </w:r>
      <w:proofErr w:type="spellEnd"/>
      <w:r>
        <w:t xml:space="preserve"> Approach to Gender Justice". In:</w:t>
      </w:r>
      <w:r w:rsidRPr="00284628">
        <w:rPr>
          <w:color w:val="333333"/>
        </w:rPr>
        <w:t xml:space="preserve"> </w:t>
      </w:r>
      <w:r w:rsidRPr="00284628">
        <w:rPr>
          <w:i/>
          <w:iCs/>
          <w:color w:val="333333"/>
        </w:rPr>
        <w:t>Fortunes of Feminism: from State-Managed Capitalism to Neoliberal Crisis</w:t>
      </w:r>
      <w:r w:rsidRPr="00284628">
        <w:rPr>
          <w:color w:val="333333"/>
        </w:rPr>
        <w:t xml:space="preserve">. </w:t>
      </w:r>
      <w:proofErr w:type="gramStart"/>
      <w:r w:rsidRPr="00284628">
        <w:rPr>
          <w:color w:val="333333"/>
        </w:rPr>
        <w:t>London ;</w:t>
      </w:r>
      <w:proofErr w:type="gramEnd"/>
      <w:r w:rsidRPr="00284628">
        <w:rPr>
          <w:color w:val="333333"/>
        </w:rPr>
        <w:t xml:space="preserve"> Brooklyn, </w:t>
      </w:r>
      <w:r w:rsidR="00D66B99">
        <w:rPr>
          <w:color w:val="333333"/>
        </w:rPr>
        <w:t>(</w:t>
      </w:r>
      <w:r w:rsidRPr="00284628">
        <w:rPr>
          <w:color w:val="333333"/>
        </w:rPr>
        <w:t>NY: Verso Books, 2013</w:t>
      </w:r>
      <w:r>
        <w:rPr>
          <w:color w:val="333333"/>
        </w:rPr>
        <w:t xml:space="preserve"> </w:t>
      </w:r>
      <w:r w:rsidR="00D66B99">
        <w:rPr>
          <w:color w:val="333333"/>
        </w:rPr>
        <w:t>)</w:t>
      </w:r>
      <w:r>
        <w:rPr>
          <w:color w:val="333333"/>
        </w:rPr>
        <w:t>pp.159-183</w:t>
      </w:r>
      <w:r w:rsidRPr="00284628">
        <w:rPr>
          <w:color w:val="333333"/>
          <w:rtl/>
        </w:rPr>
        <w:t>.</w:t>
      </w:r>
    </w:p>
    <w:p w14:paraId="0EC5DA00" w14:textId="6E18CDD0" w:rsidR="00241D56" w:rsidRPr="00284628" w:rsidRDefault="00D31AAF" w:rsidP="0028462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0"/>
        <w:jc w:val="both"/>
        <w:rPr>
          <w:rtl/>
        </w:rPr>
      </w:pPr>
      <w:r>
        <w:rPr>
          <w:color w:val="333333"/>
        </w:rPr>
        <w:t>*</w:t>
      </w:r>
      <w:r w:rsidR="00241D56" w:rsidRPr="0039682D">
        <w:rPr>
          <w:color w:val="333333"/>
        </w:rPr>
        <w:t xml:space="preserve">Seron Carroll, Susan </w:t>
      </w:r>
      <w:proofErr w:type="spellStart"/>
      <w:r w:rsidR="00241D56" w:rsidRPr="0039682D">
        <w:rPr>
          <w:color w:val="333333"/>
        </w:rPr>
        <w:t>Silbey</w:t>
      </w:r>
      <w:proofErr w:type="spellEnd"/>
      <w:r w:rsidR="00241D56" w:rsidRPr="0039682D">
        <w:rPr>
          <w:color w:val="333333"/>
        </w:rPr>
        <w:t xml:space="preserve">, Erin Cech, and Brian </w:t>
      </w:r>
      <w:proofErr w:type="spellStart"/>
      <w:r w:rsidR="00241D56" w:rsidRPr="0039682D">
        <w:rPr>
          <w:color w:val="333333"/>
        </w:rPr>
        <w:t>Rubineau</w:t>
      </w:r>
      <w:proofErr w:type="spellEnd"/>
      <w:r w:rsidR="00241D56" w:rsidRPr="0039682D">
        <w:rPr>
          <w:color w:val="333333"/>
        </w:rPr>
        <w:t>, (</w:t>
      </w:r>
      <w:r w:rsidR="00241D56" w:rsidRPr="0039682D">
        <w:rPr>
          <w:color w:val="555555"/>
        </w:rPr>
        <w:t xml:space="preserve">2018) </w:t>
      </w:r>
      <w:r w:rsidR="00241D56" w:rsidRPr="0039682D">
        <w:rPr>
          <w:color w:val="333333"/>
        </w:rPr>
        <w:t xml:space="preserve">“I am Not a Feminist, </w:t>
      </w:r>
      <w:proofErr w:type="gramStart"/>
      <w:r w:rsidR="00241D56" w:rsidRPr="0039682D">
        <w:rPr>
          <w:color w:val="333333"/>
        </w:rPr>
        <w:t>but. ..</w:t>
      </w:r>
      <w:proofErr w:type="gramEnd"/>
      <w:r w:rsidR="00241D56" w:rsidRPr="0039682D">
        <w:rPr>
          <w:color w:val="333333"/>
        </w:rPr>
        <w:t xml:space="preserve">”: Hegemony of a Meritocratic Ideology and the Limits of Critique Among Women in Engineering </w:t>
      </w:r>
      <w:r w:rsidR="00241D56" w:rsidRPr="0039682D">
        <w:rPr>
          <w:i/>
          <w:color w:val="333333"/>
        </w:rPr>
        <w:t>Work and Occupations</w:t>
      </w:r>
      <w:r w:rsidR="00241D56" w:rsidRPr="0039682D">
        <w:rPr>
          <w:color w:val="333333"/>
        </w:rPr>
        <w:t xml:space="preserve"> Vol 45, Issue 2, pp. 131 – 167</w:t>
      </w:r>
    </w:p>
    <w:p w14:paraId="5748EB05" w14:textId="77777777" w:rsidR="00241D56" w:rsidRPr="0039682D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u w:val="single"/>
        </w:rPr>
      </w:pPr>
      <w:r>
        <w:rPr>
          <w:u w:val="single"/>
          <w:rtl/>
        </w:rPr>
        <w:t>אפיסטמולוגיה פמיניסטית</w:t>
      </w:r>
    </w:p>
    <w:p w14:paraId="236D016D" w14:textId="66B74472" w:rsidR="00241D56" w:rsidRDefault="00241D56" w:rsidP="000C70A8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jc w:val="both"/>
      </w:pPr>
      <w:r w:rsidRPr="0039682D">
        <w:t xml:space="preserve">Harding Sandra, </w:t>
      </w:r>
      <w:r w:rsidR="00D66B99" w:rsidRPr="00D66B99">
        <w:rPr>
          <w:i/>
          <w:iCs/>
        </w:rPr>
        <w:t>W</w:t>
      </w:r>
      <w:r w:rsidRPr="00D66B99">
        <w:rPr>
          <w:i/>
          <w:iCs/>
        </w:rPr>
        <w:t xml:space="preserve">hose science? Whose </w:t>
      </w:r>
      <w:proofErr w:type="gramStart"/>
      <w:r w:rsidRPr="00D66B99">
        <w:rPr>
          <w:i/>
          <w:iCs/>
        </w:rPr>
        <w:t>Knowledge</w:t>
      </w:r>
      <w:proofErr w:type="gramEnd"/>
      <w:r w:rsidRPr="0039682D">
        <w:t xml:space="preserve">? </w:t>
      </w:r>
      <w:r w:rsidR="00D66B99">
        <w:t>(</w:t>
      </w:r>
      <w:r w:rsidRPr="0039682D">
        <w:t>Ithaca N.Y.: Cornell University Press</w:t>
      </w:r>
      <w:r w:rsidR="00D66B99">
        <w:t xml:space="preserve">, </w:t>
      </w:r>
      <w:r w:rsidRPr="0039682D">
        <w:t>1991), pp.105-163</w:t>
      </w:r>
    </w:p>
    <w:p w14:paraId="18A7286D" w14:textId="7C6D1D36" w:rsidR="00D66B99" w:rsidRPr="00D66B99" w:rsidRDefault="00D66B99" w:rsidP="00D66B99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jc w:val="both"/>
        <w:rPr>
          <w:color w:val="111111"/>
        </w:rPr>
      </w:pPr>
      <w:r w:rsidRPr="0039682D">
        <w:t xml:space="preserve">Hill-Collins Patricia, “Black Feminist Epistemology” in: </w:t>
      </w:r>
      <w:r w:rsidRPr="0039682D">
        <w:rPr>
          <w:i/>
        </w:rPr>
        <w:t xml:space="preserve">Black Feminist Thought, </w:t>
      </w:r>
      <w:r w:rsidRPr="0039682D">
        <w:rPr>
          <w:i/>
          <w:color w:val="111111"/>
        </w:rPr>
        <w:t>Consciousness, and the Politics of Empowerment</w:t>
      </w:r>
      <w:r w:rsidRPr="0039682D">
        <w:rPr>
          <w:color w:val="111111"/>
        </w:rPr>
        <w:t xml:space="preserve">, </w:t>
      </w:r>
      <w:r>
        <w:rPr>
          <w:color w:val="111111"/>
        </w:rPr>
        <w:t>(</w:t>
      </w:r>
      <w:r w:rsidRPr="0039682D">
        <w:rPr>
          <w:color w:val="111111"/>
        </w:rPr>
        <w:t xml:space="preserve">NY: Routledge, </w:t>
      </w:r>
      <w:r w:rsidRPr="0039682D">
        <w:t xml:space="preserve">1990), </w:t>
      </w:r>
      <w:r w:rsidRPr="0039682D">
        <w:rPr>
          <w:color w:val="111111"/>
        </w:rPr>
        <w:t>pp. 251-271</w:t>
      </w:r>
    </w:p>
    <w:p w14:paraId="27DC6793" w14:textId="5F67F484" w:rsidR="00241D56" w:rsidRPr="0039682D" w:rsidRDefault="00241D56" w:rsidP="000C70A8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jc w:val="both"/>
      </w:pPr>
      <w:r w:rsidRPr="0039682D">
        <w:t xml:space="preserve">Fricker Miranda, </w:t>
      </w:r>
      <w:r w:rsidRPr="0039682D">
        <w:rPr>
          <w:i/>
        </w:rPr>
        <w:t>Epistemic Injustice Power and the Ethics of Knowledge</w:t>
      </w:r>
      <w:r w:rsidRPr="0039682D">
        <w:t xml:space="preserve">. </w:t>
      </w:r>
      <w:r w:rsidR="00D66B99">
        <w:t>(</w:t>
      </w:r>
      <w:r w:rsidRPr="0039682D">
        <w:t>Oxford UK: Oxford University Press</w:t>
      </w:r>
      <w:r w:rsidR="00D66B99">
        <w:t xml:space="preserve">, </w:t>
      </w:r>
      <w:r w:rsidRPr="0039682D">
        <w:t xml:space="preserve">2007). Ch 1+ </w:t>
      </w:r>
      <w:proofErr w:type="spellStart"/>
      <w:r w:rsidRPr="0039682D">
        <w:t>ch</w:t>
      </w:r>
      <w:proofErr w:type="spellEnd"/>
      <w:r w:rsidRPr="0039682D">
        <w:t xml:space="preserve"> 7.</w:t>
      </w:r>
    </w:p>
    <w:p w14:paraId="4D7E35FD" w14:textId="4E26D556" w:rsidR="00241D56" w:rsidRPr="0039682D" w:rsidRDefault="00241D56" w:rsidP="000C70A8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jc w:val="both"/>
      </w:pPr>
      <w:proofErr w:type="spellStart"/>
      <w:r w:rsidRPr="0039682D">
        <w:t>Tauna</w:t>
      </w:r>
      <w:proofErr w:type="spellEnd"/>
      <w:r w:rsidRPr="0039682D">
        <w:t>, Nancy</w:t>
      </w:r>
      <w:r w:rsidR="00D66B99">
        <w:t>.</w:t>
      </w:r>
      <w:r w:rsidRPr="0039682D">
        <w:t xml:space="preserve"> “The Speculum of Ignorance: The Women's Health Movement and Epistemologies of Ignoranc</w:t>
      </w:r>
      <w:r w:rsidR="00D66B99">
        <w:t>e</w:t>
      </w:r>
      <w:r w:rsidRPr="0039682D">
        <w:t xml:space="preserve"> </w:t>
      </w:r>
      <w:proofErr w:type="gramStart"/>
      <w:r w:rsidRPr="0039682D">
        <w:t xml:space="preserve">“ </w:t>
      </w:r>
      <w:r w:rsidRPr="0039682D">
        <w:rPr>
          <w:i/>
        </w:rPr>
        <w:t>Hypatia</w:t>
      </w:r>
      <w:proofErr w:type="gramEnd"/>
      <w:r w:rsidRPr="0039682D">
        <w:t>, Vol. 21, No. 3, (Summer, 2006), pp. 1-19</w:t>
      </w:r>
    </w:p>
    <w:p w14:paraId="14D95608" w14:textId="5CFCDEC7" w:rsidR="00241D56" w:rsidRPr="0039682D" w:rsidRDefault="00241D56" w:rsidP="000C70A8">
      <w:pPr>
        <w:bidi w:val="0"/>
        <w:spacing w:before="120" w:line="360" w:lineRule="auto"/>
        <w:jc w:val="both"/>
      </w:pPr>
      <w:r w:rsidRPr="0039682D">
        <w:t xml:space="preserve">*Code, </w:t>
      </w:r>
      <w:proofErr w:type="gramStart"/>
      <w:r w:rsidRPr="0039682D">
        <w:t xml:space="preserve">Lorraine  </w:t>
      </w:r>
      <w:r w:rsidR="00D66B99" w:rsidRPr="0039682D">
        <w:t>(</w:t>
      </w:r>
      <w:proofErr w:type="gramEnd"/>
      <w:r w:rsidR="00D66B99" w:rsidRPr="0039682D">
        <w:t xml:space="preserve">2014) </w:t>
      </w:r>
      <w:r w:rsidRPr="0039682D">
        <w:t xml:space="preserve">Ignorance, Injustice and the Politics of Knowledge, </w:t>
      </w:r>
      <w:r w:rsidRPr="0039682D">
        <w:rPr>
          <w:i/>
        </w:rPr>
        <w:t>Australian Feminist Studies,</w:t>
      </w:r>
      <w:r w:rsidRPr="0039682D">
        <w:t xml:space="preserve"> 29:80, 148-160</w:t>
      </w:r>
    </w:p>
    <w:p w14:paraId="70C61C96" w14:textId="77777777" w:rsidR="00241D56" w:rsidRPr="0039682D" w:rsidRDefault="00241D56" w:rsidP="000C70A8">
      <w:pPr>
        <w:bidi w:val="0"/>
        <w:spacing w:before="120" w:line="360" w:lineRule="auto"/>
        <w:jc w:val="both"/>
      </w:pPr>
    </w:p>
    <w:p w14:paraId="7B43A2B8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u w:val="single"/>
          <w:rtl/>
          <w:lang w:bidi="he"/>
        </w:rPr>
      </w:pPr>
      <w:r>
        <w:rPr>
          <w:u w:val="single"/>
          <w:rtl/>
        </w:rPr>
        <w:t xml:space="preserve">ביקורת תרבות פוסטקולוניאלית </w:t>
      </w:r>
    </w:p>
    <w:p w14:paraId="6CC67356" w14:textId="7454A2B8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tl/>
          <w:lang w:bidi="he"/>
        </w:rPr>
      </w:pPr>
      <w:proofErr w:type="spellStart"/>
      <w:r>
        <w:rPr>
          <w:rtl/>
        </w:rPr>
        <w:t>מוהטני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צנטרה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טלפדה</w:t>
      </w:r>
      <w:proofErr w:type="spellEnd"/>
      <w:r>
        <w:rPr>
          <w:rtl/>
        </w:rPr>
        <w:t xml:space="preserve">, </w:t>
      </w:r>
      <w:r w:rsidR="00D66B99">
        <w:rPr>
          <w:rFonts w:hint="cs"/>
          <w:rtl/>
        </w:rPr>
        <w:t>"</w:t>
      </w:r>
      <w:r>
        <w:rPr>
          <w:rtl/>
        </w:rPr>
        <w:t xml:space="preserve">תחת עיניים מערביות: הגות פמיניסטית ושיחים </w:t>
      </w:r>
      <w:proofErr w:type="spellStart"/>
      <w:r>
        <w:rPr>
          <w:rtl/>
        </w:rPr>
        <w:t>קולוניאלים</w:t>
      </w:r>
      <w:proofErr w:type="spellEnd"/>
      <w:r w:rsidR="00D66B99">
        <w:rPr>
          <w:rFonts w:hint="cs"/>
          <w:rtl/>
        </w:rPr>
        <w:t>",</w:t>
      </w:r>
      <w:r>
        <w:rPr>
          <w:rtl/>
        </w:rPr>
        <w:t xml:space="preserve"> בתוך ד. באום, ד. אמיר ואחרות (עורכים), ללמוד פמיניזם: מקראה, מאמרים ומסמכי יסוד במחשבה פמיניסטית.  </w:t>
      </w:r>
      <w:r w:rsidR="00D66B99">
        <w:rPr>
          <w:rFonts w:hint="cs"/>
          <w:rtl/>
        </w:rPr>
        <w:t>(</w:t>
      </w:r>
      <w:r>
        <w:rPr>
          <w:rtl/>
        </w:rPr>
        <w:t>תל אביב: הקיבוץ המאוחד</w:t>
      </w:r>
      <w:r w:rsidR="00D66B99">
        <w:rPr>
          <w:rFonts w:hint="cs"/>
          <w:rtl/>
        </w:rPr>
        <w:t>,</w:t>
      </w:r>
      <w:r w:rsidR="00D66B99">
        <w:rPr>
          <w:rtl/>
        </w:rPr>
        <w:t xml:space="preserve"> </w:t>
      </w:r>
      <w:r w:rsidR="00D66B99">
        <w:rPr>
          <w:rtl/>
        </w:rPr>
        <w:t>2006, 1998)</w:t>
      </w:r>
      <w:r>
        <w:rPr>
          <w:rtl/>
        </w:rPr>
        <w:t>.</w:t>
      </w:r>
    </w:p>
    <w:p w14:paraId="6DF36181" w14:textId="15F7A1CF" w:rsidR="00B76D36" w:rsidRDefault="00B76D36" w:rsidP="00B76D36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line="360" w:lineRule="auto"/>
        <w:jc w:val="both"/>
        <w:rPr>
          <w:lang w:bidi="he"/>
        </w:rPr>
      </w:pPr>
      <w:r>
        <w:rPr>
          <w:lang w:bidi="he"/>
        </w:rPr>
        <w:t xml:space="preserve">Mahmood, Saba. The Politics of Piety: The Islamic Revival and the Feminist </w:t>
      </w:r>
      <w:proofErr w:type="gramStart"/>
      <w:r>
        <w:rPr>
          <w:lang w:bidi="he"/>
        </w:rPr>
        <w:t>Subject.(</w:t>
      </w:r>
      <w:proofErr w:type="gramEnd"/>
      <w:r w:rsidRPr="00B76D36">
        <w:rPr>
          <w:color w:val="323232"/>
          <w:highlight w:val="white"/>
          <w:rtl/>
          <w:lang w:bidi="he"/>
        </w:rPr>
        <w:t xml:space="preserve"> </w:t>
      </w:r>
      <w:r>
        <w:rPr>
          <w:color w:val="323232"/>
          <w:highlight w:val="white"/>
          <w:rtl/>
          <w:lang w:bidi="he"/>
        </w:rPr>
        <w:t xml:space="preserve">NJ: </w:t>
      </w:r>
      <w:proofErr w:type="spellStart"/>
      <w:r>
        <w:rPr>
          <w:color w:val="323232"/>
          <w:highlight w:val="white"/>
          <w:rtl/>
          <w:lang w:bidi="he"/>
        </w:rPr>
        <w:t>Princeton</w:t>
      </w:r>
      <w:proofErr w:type="spellEnd"/>
      <w:r>
        <w:rPr>
          <w:color w:val="323232"/>
          <w:highlight w:val="white"/>
          <w:rtl/>
          <w:lang w:bidi="he"/>
        </w:rPr>
        <w:t xml:space="preserve"> </w:t>
      </w:r>
      <w:proofErr w:type="spellStart"/>
      <w:r>
        <w:rPr>
          <w:color w:val="323232"/>
          <w:highlight w:val="white"/>
          <w:rtl/>
          <w:lang w:bidi="he"/>
        </w:rPr>
        <w:t>University</w:t>
      </w:r>
      <w:proofErr w:type="spellEnd"/>
      <w:r>
        <w:rPr>
          <w:color w:val="323232"/>
          <w:highlight w:val="white"/>
          <w:rtl/>
          <w:lang w:bidi="he"/>
        </w:rPr>
        <w:t xml:space="preserve"> </w:t>
      </w:r>
      <w:proofErr w:type="spellStart"/>
      <w:r>
        <w:rPr>
          <w:color w:val="323232"/>
          <w:highlight w:val="white"/>
          <w:rtl/>
          <w:lang w:bidi="he"/>
        </w:rPr>
        <w:t>Press</w:t>
      </w:r>
      <w:proofErr w:type="spellEnd"/>
      <w:r>
        <w:rPr>
          <w:color w:val="323232"/>
          <w:lang w:bidi="he"/>
        </w:rPr>
        <w:t>, 2005), pp. 1-39.</w:t>
      </w:r>
      <w:r>
        <w:rPr>
          <w:lang w:bidi="he"/>
        </w:rPr>
        <w:t xml:space="preserve"> </w:t>
      </w:r>
    </w:p>
    <w:p w14:paraId="4494DBB9" w14:textId="77777777" w:rsidR="00B76D36" w:rsidRDefault="00B76D36" w:rsidP="00241D56">
      <w:pPr>
        <w:spacing w:before="120" w:line="360" w:lineRule="auto"/>
        <w:jc w:val="both"/>
        <w:rPr>
          <w:color w:val="323232"/>
          <w:rtl/>
          <w:lang w:bidi="he"/>
        </w:rPr>
      </w:pPr>
    </w:p>
    <w:p w14:paraId="0333A610" w14:textId="276ABB01" w:rsidR="00241D56" w:rsidRDefault="00241D56" w:rsidP="00241D56">
      <w:pPr>
        <w:spacing w:before="120" w:line="360" w:lineRule="auto"/>
        <w:jc w:val="both"/>
        <w:rPr>
          <w:rtl/>
          <w:lang w:bidi="he"/>
        </w:rPr>
      </w:pPr>
      <w:proofErr w:type="spellStart"/>
      <w:r>
        <w:rPr>
          <w:rtl/>
        </w:rPr>
        <w:t>אנזלדואה</w:t>
      </w:r>
      <w:proofErr w:type="spellEnd"/>
      <w:r>
        <w:rPr>
          <w:rtl/>
        </w:rPr>
        <w:t xml:space="preserve"> ג'. (2006). אזור הגבול/</w:t>
      </w:r>
      <w:proofErr w:type="spellStart"/>
      <w:r>
        <w:rPr>
          <w:rtl/>
          <w:lang w:bidi="he"/>
        </w:rPr>
        <w:t>la</w:t>
      </w:r>
      <w:proofErr w:type="spellEnd"/>
      <w:r>
        <w:rPr>
          <w:rtl/>
          <w:lang w:bidi="he"/>
        </w:rPr>
        <w:t xml:space="preserve"> </w:t>
      </w:r>
      <w:proofErr w:type="spellStart"/>
      <w:r>
        <w:rPr>
          <w:rtl/>
          <w:lang w:bidi="he"/>
        </w:rPr>
        <w:t>frontera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המסטיסה</w:t>
      </w:r>
      <w:proofErr w:type="spellEnd"/>
      <w:r>
        <w:rPr>
          <w:rtl/>
        </w:rPr>
        <w:t xml:space="preserve"> החדשה. בתוך ד. באום, ד. אמיר ואחרות (עורכים), ללמוד פמיניזם: מקראה, מאמרים ומסמכי יסוד במחשבה פמיניסטית.  תל אביב: הקיבוץ המאוחד.</w:t>
      </w:r>
    </w:p>
    <w:p w14:paraId="6F7657A0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/>
        <w:ind w:right="360"/>
        <w:rPr>
          <w:color w:val="222222"/>
          <w:highlight w:val="white"/>
          <w:u w:val="single"/>
          <w:rtl/>
          <w:lang w:bidi="he"/>
        </w:rPr>
      </w:pPr>
    </w:p>
    <w:p w14:paraId="25AAAAC2" w14:textId="513FFF73" w:rsidR="009E6CA8" w:rsidRPr="00D31AAF" w:rsidRDefault="00241D56" w:rsidP="00D31AAF">
      <w:pPr>
        <w:pBdr>
          <w:top w:val="nil"/>
          <w:left w:val="nil"/>
          <w:bottom w:val="nil"/>
          <w:right w:val="nil"/>
          <w:between w:val="nil"/>
        </w:pBdr>
        <w:spacing w:before="120"/>
        <w:ind w:right="360"/>
        <w:rPr>
          <w:color w:val="222222"/>
          <w:u w:val="single"/>
          <w:rtl/>
          <w:lang w:bidi="he"/>
        </w:rPr>
      </w:pPr>
      <w:r>
        <w:rPr>
          <w:color w:val="222222"/>
          <w:highlight w:val="white"/>
          <w:u w:val="single"/>
          <w:rtl/>
        </w:rPr>
        <w:t>פוסט-</w:t>
      </w:r>
      <w:proofErr w:type="spellStart"/>
      <w:r>
        <w:rPr>
          <w:color w:val="222222"/>
          <w:highlight w:val="white"/>
          <w:u w:val="single"/>
          <w:rtl/>
        </w:rPr>
        <w:t>סטרוקטוראליזם</w:t>
      </w:r>
      <w:proofErr w:type="spellEnd"/>
      <w:r>
        <w:rPr>
          <w:color w:val="222222"/>
          <w:highlight w:val="white"/>
          <w:u w:val="single"/>
          <w:rtl/>
        </w:rPr>
        <w:t xml:space="preserve"> -פוקו</w:t>
      </w:r>
    </w:p>
    <w:p w14:paraId="4AABAC06" w14:textId="41A67130" w:rsidR="009E6CA8" w:rsidRPr="009E6CA8" w:rsidRDefault="009E6CA8" w:rsidP="009E6CA8">
      <w:pPr>
        <w:pBdr>
          <w:top w:val="nil"/>
          <w:left w:val="nil"/>
          <w:bottom w:val="nil"/>
          <w:right w:val="nil"/>
          <w:between w:val="nil"/>
        </w:pBdr>
        <w:spacing w:before="120"/>
        <w:ind w:right="360"/>
        <w:rPr>
          <w:color w:val="222222"/>
          <w:highlight w:val="white"/>
          <w:u w:val="single"/>
        </w:rPr>
      </w:pPr>
      <w:r>
        <w:rPr>
          <w:rtl/>
          <w:lang w:bidi="he"/>
        </w:rPr>
        <w:t xml:space="preserve">  פוקו, מישל, </w:t>
      </w:r>
      <w:r>
        <w:rPr>
          <w:rFonts w:hint="cs"/>
          <w:rtl/>
          <w:lang w:bidi="he"/>
        </w:rPr>
        <w:t xml:space="preserve">"גופים צייתניים" </w:t>
      </w:r>
      <w:r>
        <w:rPr>
          <w:rtl/>
          <w:lang w:bidi="he"/>
        </w:rPr>
        <w:t>לפקח ולהעניש : הולדת בית הסוהר</w:t>
      </w:r>
      <w:r>
        <w:rPr>
          <w:rFonts w:hint="cs"/>
          <w:rtl/>
          <w:lang w:bidi="he"/>
        </w:rPr>
        <w:t>.</w:t>
      </w:r>
      <w:r>
        <w:rPr>
          <w:rtl/>
          <w:lang w:bidi="he"/>
        </w:rPr>
        <w:t xml:space="preserve"> תל אביב: רסלינג, 2015. </w:t>
      </w:r>
      <w:r>
        <w:rPr>
          <w:rFonts w:hint="cs"/>
          <w:rtl/>
          <w:lang w:bidi="he"/>
        </w:rPr>
        <w:t xml:space="preserve"> </w:t>
      </w:r>
    </w:p>
    <w:p w14:paraId="3EC6EBD5" w14:textId="76D7AA42" w:rsidR="00241D56" w:rsidRPr="0039682D" w:rsidRDefault="00241D56" w:rsidP="009E6CA8">
      <w:pPr>
        <w:bidi w:val="0"/>
        <w:spacing w:before="120"/>
        <w:ind w:right="840"/>
        <w:rPr>
          <w:lang w:bidi="he"/>
        </w:rPr>
      </w:pPr>
      <w:proofErr w:type="spellStart"/>
      <w:r>
        <w:rPr>
          <w:rtl/>
          <w:lang w:bidi="he"/>
        </w:rPr>
        <w:t>Foucault</w:t>
      </w:r>
      <w:proofErr w:type="spellEnd"/>
      <w:r>
        <w:rPr>
          <w:rtl/>
          <w:lang w:bidi="he"/>
        </w:rPr>
        <w:t>, M. (1977). “</w:t>
      </w:r>
      <w:proofErr w:type="spellStart"/>
      <w:r>
        <w:rPr>
          <w:rtl/>
          <w:lang w:bidi="he"/>
        </w:rPr>
        <w:t>Docile</w:t>
      </w:r>
      <w:proofErr w:type="spellEnd"/>
      <w:r>
        <w:rPr>
          <w:rtl/>
          <w:lang w:bidi="he"/>
        </w:rPr>
        <w:t xml:space="preserve"> </w:t>
      </w:r>
      <w:proofErr w:type="spellStart"/>
      <w:r>
        <w:rPr>
          <w:rtl/>
          <w:lang w:bidi="he"/>
        </w:rPr>
        <w:t>bodies</w:t>
      </w:r>
      <w:proofErr w:type="spellEnd"/>
      <w:r w:rsidR="009E6CA8">
        <w:rPr>
          <w:lang w:bidi="he"/>
        </w:rPr>
        <w:t xml:space="preserve"> </w:t>
      </w:r>
      <w:r>
        <w:rPr>
          <w:rtl/>
          <w:lang w:bidi="he"/>
        </w:rPr>
        <w:t xml:space="preserve"> </w:t>
      </w:r>
      <w:r w:rsidRPr="0039682D">
        <w:t xml:space="preserve">In </w:t>
      </w:r>
      <w:r w:rsidRPr="0039682D">
        <w:rPr>
          <w:i/>
        </w:rPr>
        <w:t>Discipline and Punish</w:t>
      </w:r>
      <w:r w:rsidRPr="0039682D">
        <w:t xml:space="preserve"> (pp. 135-162). London: Allan Lane.</w:t>
      </w:r>
    </w:p>
    <w:p w14:paraId="70520DF6" w14:textId="77777777" w:rsidR="00241D56" w:rsidRPr="0039682D" w:rsidRDefault="00241D56" w:rsidP="00F345BC">
      <w:pPr>
        <w:bidi w:val="0"/>
        <w:spacing w:before="200" w:after="120"/>
        <w:jc w:val="both"/>
      </w:pPr>
      <w:proofErr w:type="spellStart"/>
      <w:r w:rsidRPr="0039682D">
        <w:t>Bartky</w:t>
      </w:r>
      <w:proofErr w:type="spellEnd"/>
      <w:r w:rsidRPr="0039682D">
        <w:t xml:space="preserve"> Sandra Lee, "Suffering to be Beautiful", </w:t>
      </w:r>
      <w:r w:rsidRPr="0039682D">
        <w:rPr>
          <w:i/>
        </w:rPr>
        <w:t xml:space="preserve">Sympathy and Solidarity, </w:t>
      </w:r>
      <w:r w:rsidRPr="0039682D">
        <w:t>(NY: Rowman &amp; Littlefield Publishers Inc.: 2002), pp. 13-30</w:t>
      </w:r>
    </w:p>
    <w:p w14:paraId="16EE906E" w14:textId="3ABA7427" w:rsidR="00241D56" w:rsidRPr="0039682D" w:rsidRDefault="00241D56" w:rsidP="00F345BC">
      <w:pPr>
        <w:bidi w:val="0"/>
        <w:spacing w:before="120"/>
        <w:ind w:right="360"/>
        <w:jc w:val="both"/>
        <w:rPr>
          <w:color w:val="222222"/>
          <w:highlight w:val="white"/>
        </w:rPr>
      </w:pPr>
      <w:proofErr w:type="spellStart"/>
      <w:r w:rsidRPr="0039682D">
        <w:rPr>
          <w:color w:val="222222"/>
          <w:highlight w:val="white"/>
        </w:rPr>
        <w:t>Heyes</w:t>
      </w:r>
      <w:proofErr w:type="spellEnd"/>
      <w:r w:rsidRPr="0039682D">
        <w:rPr>
          <w:color w:val="222222"/>
          <w:highlight w:val="white"/>
        </w:rPr>
        <w:t xml:space="preserve">, Cressida J. "Foucault Goes </w:t>
      </w:r>
      <w:r w:rsidR="00D31AAF">
        <w:rPr>
          <w:color w:val="222222"/>
          <w:highlight w:val="white"/>
        </w:rPr>
        <w:t>t</w:t>
      </w:r>
      <w:r w:rsidRPr="0039682D">
        <w:rPr>
          <w:color w:val="222222"/>
          <w:highlight w:val="white"/>
        </w:rPr>
        <w:t xml:space="preserve">o Weight Watchers." </w:t>
      </w:r>
      <w:r w:rsidRPr="0039682D">
        <w:rPr>
          <w:i/>
          <w:color w:val="222222"/>
          <w:highlight w:val="white"/>
        </w:rPr>
        <w:t>Hypatia</w:t>
      </w:r>
      <w:r w:rsidRPr="0039682D">
        <w:rPr>
          <w:color w:val="222222"/>
          <w:highlight w:val="white"/>
        </w:rPr>
        <w:t xml:space="preserve"> 21.2 (2006): 126-149. </w:t>
      </w:r>
    </w:p>
    <w:p w14:paraId="59277B64" w14:textId="77777777" w:rsidR="00241D56" w:rsidRPr="0039682D" w:rsidRDefault="00241D56" w:rsidP="00F345BC">
      <w:pPr>
        <w:bidi w:val="0"/>
        <w:spacing w:before="200"/>
        <w:jc w:val="both"/>
      </w:pPr>
      <w:r w:rsidRPr="0039682D">
        <w:t xml:space="preserve">Foucault M., (1997) “What is Critique?” in </w:t>
      </w:r>
      <w:r w:rsidRPr="0039682D">
        <w:rPr>
          <w:i/>
        </w:rPr>
        <w:t>The Politics of Truth</w:t>
      </w:r>
      <w:r w:rsidRPr="0039682D">
        <w:t xml:space="preserve">, eds. </w:t>
      </w:r>
      <w:proofErr w:type="spellStart"/>
      <w:r w:rsidRPr="0039682D">
        <w:t>Lotringer</w:t>
      </w:r>
      <w:proofErr w:type="spellEnd"/>
      <w:r w:rsidRPr="0039682D">
        <w:t xml:space="preserve"> S. and </w:t>
      </w:r>
      <w:proofErr w:type="spellStart"/>
      <w:proofErr w:type="gramStart"/>
      <w:r w:rsidRPr="0039682D">
        <w:t>L.Hochroth</w:t>
      </w:r>
      <w:proofErr w:type="spellEnd"/>
      <w:proofErr w:type="gramEnd"/>
      <w:r w:rsidRPr="0039682D">
        <w:t xml:space="preserve">, (ed.) trans. </w:t>
      </w:r>
      <w:proofErr w:type="spellStart"/>
      <w:r w:rsidRPr="0039682D">
        <w:t>Lysa</w:t>
      </w:r>
      <w:proofErr w:type="spellEnd"/>
      <w:r w:rsidRPr="0039682D">
        <w:t xml:space="preserve"> </w:t>
      </w:r>
      <w:proofErr w:type="spellStart"/>
      <w:r w:rsidRPr="0039682D">
        <w:t>Hochroth</w:t>
      </w:r>
      <w:proofErr w:type="spellEnd"/>
      <w:r w:rsidRPr="0039682D">
        <w:t xml:space="preserve">, New York: </w:t>
      </w:r>
      <w:proofErr w:type="spellStart"/>
      <w:r w:rsidRPr="0039682D">
        <w:t>Semiotext</w:t>
      </w:r>
      <w:proofErr w:type="spellEnd"/>
      <w:r w:rsidRPr="0039682D">
        <w:t>(e),pp. 41-81</w:t>
      </w:r>
    </w:p>
    <w:p w14:paraId="5AB58457" w14:textId="77777777" w:rsidR="00241D56" w:rsidRPr="0039682D" w:rsidRDefault="00241D56" w:rsidP="00F345BC">
      <w:pPr>
        <w:pBdr>
          <w:top w:val="nil"/>
          <w:left w:val="nil"/>
          <w:bottom w:val="nil"/>
          <w:right w:val="nil"/>
          <w:between w:val="nil"/>
        </w:pBdr>
        <w:bidi w:val="0"/>
        <w:spacing w:before="120" w:after="120"/>
        <w:jc w:val="both"/>
        <w:rPr>
          <w:u w:val="single"/>
        </w:rPr>
      </w:pPr>
    </w:p>
    <w:p w14:paraId="00A2F5B8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u w:val="single"/>
          <w:rtl/>
          <w:lang w:bidi="he"/>
        </w:rPr>
      </w:pPr>
      <w:proofErr w:type="spellStart"/>
      <w:r>
        <w:rPr>
          <w:u w:val="single"/>
          <w:rtl/>
        </w:rPr>
        <w:t>פוסטסטרוקטוראליזם</w:t>
      </w:r>
      <w:proofErr w:type="spellEnd"/>
      <w:r>
        <w:rPr>
          <w:u w:val="single"/>
          <w:rtl/>
        </w:rPr>
        <w:t xml:space="preserve">-ג'ודית </w:t>
      </w:r>
      <w:proofErr w:type="spellStart"/>
      <w:r>
        <w:rPr>
          <w:u w:val="single"/>
          <w:rtl/>
        </w:rPr>
        <w:t>באטלר</w:t>
      </w:r>
      <w:proofErr w:type="spellEnd"/>
    </w:p>
    <w:p w14:paraId="06B94DD8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right="360"/>
        <w:jc w:val="both"/>
        <w:rPr>
          <w:rtl/>
          <w:lang w:bidi="he"/>
        </w:rPr>
      </w:pPr>
      <w:r>
        <w:rPr>
          <w:rtl/>
        </w:rPr>
        <w:t xml:space="preserve">ג'ודית </w:t>
      </w:r>
      <w:proofErr w:type="spellStart"/>
      <w:r>
        <w:rPr>
          <w:rtl/>
        </w:rPr>
        <w:t>בטלר</w:t>
      </w:r>
      <w:proofErr w:type="spellEnd"/>
      <w:r>
        <w:rPr>
          <w:rtl/>
        </w:rPr>
        <w:t>, "חיקוי ומרי מגדרי", במעבר למיניות: מבחר מאמרים בלימודים הומו-לסביים ותיאוריה קווירית,</w:t>
      </w:r>
      <w:r>
        <w:rPr>
          <w:i/>
          <w:iCs/>
          <w:rtl/>
          <w:lang w:bidi="he"/>
        </w:rPr>
        <w:t xml:space="preserve"> </w:t>
      </w:r>
      <w:r>
        <w:rPr>
          <w:rtl/>
        </w:rPr>
        <w:t xml:space="preserve">עורכים: יאיר קדר, עמליה זיו, ואורן </w:t>
      </w:r>
      <w:proofErr w:type="spellStart"/>
      <w:r>
        <w:rPr>
          <w:rtl/>
        </w:rPr>
        <w:t>קנר</w:t>
      </w:r>
      <w:proofErr w:type="spellEnd"/>
      <w:r>
        <w:rPr>
          <w:rtl/>
        </w:rPr>
        <w:t xml:space="preserve"> (תל-אביב: הקיבוץ המאוחד, 2003),-329-346.</w:t>
      </w:r>
    </w:p>
    <w:p w14:paraId="0DEBFB37" w14:textId="77777777" w:rsidR="00241D56" w:rsidRDefault="00241D56" w:rsidP="00241D56">
      <w:pPr>
        <w:rPr>
          <w:rtl/>
          <w:lang w:bidi="he"/>
        </w:rPr>
      </w:pPr>
    </w:p>
    <w:p w14:paraId="31111E3F" w14:textId="77777777" w:rsidR="00241D56" w:rsidRDefault="00241D56" w:rsidP="00241D56">
      <w:pPr>
        <w:rPr>
          <w:rtl/>
          <w:lang w:bidi="he"/>
        </w:rPr>
      </w:pPr>
      <w:r w:rsidRPr="0039682D">
        <w:t xml:space="preserve">Butler Judith, "Beside oneself: On the Limits of Sexual Autonomy", </w:t>
      </w:r>
      <w:r w:rsidRPr="0039682D">
        <w:rPr>
          <w:i/>
        </w:rPr>
        <w:t>Undoing Gender</w:t>
      </w:r>
      <w:r w:rsidRPr="0039682D">
        <w:t xml:space="preserve">. </w:t>
      </w:r>
      <w:r>
        <w:rPr>
          <w:rtl/>
          <w:lang w:bidi="he"/>
        </w:rPr>
        <w:t xml:space="preserve">(NY: </w:t>
      </w:r>
      <w:proofErr w:type="spellStart"/>
      <w:r>
        <w:rPr>
          <w:rtl/>
          <w:lang w:bidi="he"/>
        </w:rPr>
        <w:t>Routledge</w:t>
      </w:r>
      <w:proofErr w:type="spellEnd"/>
      <w:r>
        <w:rPr>
          <w:rtl/>
          <w:lang w:bidi="he"/>
        </w:rPr>
        <w:t xml:space="preserve">, 2004) </w:t>
      </w:r>
      <w:proofErr w:type="spellStart"/>
      <w:r>
        <w:rPr>
          <w:rtl/>
          <w:lang w:bidi="he"/>
        </w:rPr>
        <w:t>pp</w:t>
      </w:r>
      <w:proofErr w:type="spellEnd"/>
      <w:r>
        <w:rPr>
          <w:rtl/>
          <w:lang w:bidi="he"/>
        </w:rPr>
        <w:t>. 17-39</w:t>
      </w:r>
    </w:p>
    <w:p w14:paraId="78C22DFD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right="360"/>
        <w:jc w:val="both"/>
        <w:rPr>
          <w:rtl/>
          <w:lang w:bidi="he"/>
        </w:rPr>
      </w:pPr>
    </w:p>
    <w:p w14:paraId="4C6B35F6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tl/>
          <w:lang w:bidi="he"/>
        </w:rPr>
      </w:pPr>
      <w:r>
        <w:rPr>
          <w:u w:val="single"/>
          <w:rtl/>
        </w:rPr>
        <w:t>ניתוח תרבות פסיכואנליטי-פמיניסטי</w:t>
      </w:r>
      <w:r>
        <w:rPr>
          <w:rtl/>
          <w:lang w:bidi="he"/>
        </w:rPr>
        <w:t xml:space="preserve"> </w:t>
      </w:r>
    </w:p>
    <w:p w14:paraId="480207F1" w14:textId="77777777" w:rsidR="00241D5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tl/>
          <w:lang w:bidi="he"/>
        </w:rPr>
      </w:pPr>
      <w:r>
        <w:rPr>
          <w:rtl/>
        </w:rPr>
        <w:t xml:space="preserve">*פרויד זיגמונד, "המוסר המיני ה"תרבותי" והעצבנות המודרנית" ( 1908) מתוך: </w:t>
      </w:r>
      <w:r>
        <w:rPr>
          <w:i/>
          <w:rtl/>
        </w:rPr>
        <w:t xml:space="preserve">מיניות ואהבה </w:t>
      </w:r>
      <w:r>
        <w:rPr>
          <w:rtl/>
        </w:rPr>
        <w:t xml:space="preserve">עם עובד </w:t>
      </w:r>
    </w:p>
    <w:p w14:paraId="01ED6C88" w14:textId="7C63A478" w:rsidR="00241D56" w:rsidRPr="00B76D36" w:rsidRDefault="00241D56" w:rsidP="00B76D3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bCs/>
          <w:rtl/>
          <w:lang w:bidi="he"/>
        </w:rPr>
      </w:pPr>
      <w:proofErr w:type="spellStart"/>
      <w:r>
        <w:rPr>
          <w:rtl/>
        </w:rPr>
        <w:t>קריסטבה</w:t>
      </w:r>
      <w:proofErr w:type="spellEnd"/>
      <w:r>
        <w:rPr>
          <w:rtl/>
        </w:rPr>
        <w:t xml:space="preserve">, ג'וליה', (2005) "מן הלכלוך אל הטומאה" מתוך </w:t>
      </w:r>
      <w:r>
        <w:rPr>
          <w:i/>
          <w:rtl/>
        </w:rPr>
        <w:t xml:space="preserve">כוחות האימה </w:t>
      </w:r>
      <w:r>
        <w:rPr>
          <w:rtl/>
        </w:rPr>
        <w:t xml:space="preserve">(תל </w:t>
      </w:r>
      <w:proofErr w:type="spellStart"/>
      <w:r>
        <w:rPr>
          <w:rtl/>
        </w:rPr>
        <w:t>אביב:רסלינג</w:t>
      </w:r>
      <w:proofErr w:type="spellEnd"/>
      <w:r>
        <w:rPr>
          <w:rtl/>
        </w:rPr>
        <w:t>, ), עמ' 47-72</w:t>
      </w:r>
    </w:p>
    <w:p w14:paraId="0C694738" w14:textId="68315E87" w:rsidR="00241D56" w:rsidRPr="00B76D36" w:rsidRDefault="00241D56" w:rsidP="00B76D36">
      <w:pPr>
        <w:bidi w:val="0"/>
        <w:spacing w:before="200"/>
        <w:ind w:right="405"/>
        <w:jc w:val="both"/>
        <w:rPr>
          <w:iCs/>
          <w:rtl/>
        </w:rPr>
      </w:pPr>
      <w:proofErr w:type="spellStart"/>
      <w:r w:rsidRPr="0039682D">
        <w:t>Felman</w:t>
      </w:r>
      <w:proofErr w:type="spellEnd"/>
      <w:r w:rsidRPr="0039682D">
        <w:t xml:space="preserve"> Shoshana</w:t>
      </w:r>
      <w:r w:rsidR="00B76D36">
        <w:t>.</w:t>
      </w:r>
      <w:r w:rsidRPr="0039682D">
        <w:t xml:space="preserve">  </w:t>
      </w:r>
      <w:r w:rsidRPr="0039682D">
        <w:rPr>
          <w:i/>
        </w:rPr>
        <w:t xml:space="preserve">What does a Woman Want? Reading and Sexual Difference. </w:t>
      </w:r>
      <w:r w:rsidR="00B76D36" w:rsidRPr="00B76D36">
        <w:rPr>
          <w:iCs/>
        </w:rPr>
        <w:t>(</w:t>
      </w:r>
      <w:r w:rsidRPr="00B76D36">
        <w:rPr>
          <w:iCs/>
        </w:rPr>
        <w:t xml:space="preserve">Baltimore: Jhon Hopkins University Press, </w:t>
      </w:r>
      <w:r w:rsidR="00B76D36" w:rsidRPr="00B76D36">
        <w:rPr>
          <w:iCs/>
        </w:rPr>
        <w:t>1993</w:t>
      </w:r>
      <w:r w:rsidR="00B76D36" w:rsidRPr="00B76D36">
        <w:rPr>
          <w:iCs/>
        </w:rPr>
        <w:t>)</w:t>
      </w:r>
      <w:r w:rsidR="00B76D36">
        <w:rPr>
          <w:iCs/>
        </w:rPr>
        <w:t>,</w:t>
      </w:r>
      <w:r w:rsidR="00B76D36" w:rsidRPr="00B76D36">
        <w:rPr>
          <w:iCs/>
        </w:rPr>
        <w:t xml:space="preserve"> </w:t>
      </w:r>
      <w:r w:rsidRPr="00B76D36">
        <w:rPr>
          <w:iCs/>
        </w:rPr>
        <w:t>pp. 1-19, 133-151</w:t>
      </w:r>
    </w:p>
    <w:p w14:paraId="3DDDF076" w14:textId="77777777" w:rsidR="00241D56" w:rsidRPr="00B76D36" w:rsidRDefault="00241D56" w:rsidP="00241D56">
      <w:pPr>
        <w:pBdr>
          <w:top w:val="nil"/>
          <w:left w:val="nil"/>
          <w:bottom w:val="nil"/>
          <w:right w:val="nil"/>
          <w:between w:val="nil"/>
        </w:pBdr>
        <w:spacing w:before="120"/>
        <w:ind w:right="360"/>
        <w:rPr>
          <w:iCs/>
          <w:color w:val="222222"/>
          <w:highlight w:val="white"/>
          <w:u w:val="single"/>
        </w:rPr>
      </w:pPr>
    </w:p>
    <w:p w14:paraId="065EA36C" w14:textId="77777777" w:rsidR="00284030" w:rsidRPr="00241D56" w:rsidRDefault="00284030" w:rsidP="00284030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</w:p>
    <w:p w14:paraId="77B01224" w14:textId="77777777" w:rsidR="00D668F8" w:rsidRPr="003C070F" w:rsidRDefault="00D668F8" w:rsidP="0064775D">
      <w:pPr>
        <w:jc w:val="both"/>
        <w:rPr>
          <w:color w:val="FF0000"/>
          <w:sz w:val="28"/>
          <w:szCs w:val="28"/>
          <w:rtl/>
        </w:rPr>
      </w:pPr>
    </w:p>
    <w:sectPr w:rsidR="00D668F8" w:rsidRPr="003C070F" w:rsidSect="00075049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5527" w14:textId="77777777" w:rsidR="00176907" w:rsidRDefault="00176907">
      <w:r>
        <w:separator/>
      </w:r>
    </w:p>
  </w:endnote>
  <w:endnote w:type="continuationSeparator" w:id="0">
    <w:p w14:paraId="2F887D03" w14:textId="77777777" w:rsidR="00176907" w:rsidRDefault="001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4106" w14:textId="77777777" w:rsidR="009263FA" w:rsidRDefault="009263FA" w:rsidP="00DD686B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76907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D9DA" w14:textId="77777777" w:rsidR="00176907" w:rsidRDefault="00176907">
      <w:r>
        <w:separator/>
      </w:r>
    </w:p>
  </w:footnote>
  <w:footnote w:type="continuationSeparator" w:id="0">
    <w:p w14:paraId="2C9D278C" w14:textId="77777777" w:rsidR="00176907" w:rsidRDefault="0017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F373" w14:textId="487252D2" w:rsidR="009263FA" w:rsidRDefault="006B3A55" w:rsidP="00DD686B">
    <w:pPr>
      <w:pStyle w:val="a4"/>
      <w:jc w:val="center"/>
      <w:rPr>
        <w:color w:val="333333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5BD83A" wp14:editId="75513BDC">
          <wp:simplePos x="0" y="0"/>
          <wp:positionH relativeFrom="column">
            <wp:posOffset>3828415</wp:posOffset>
          </wp:positionH>
          <wp:positionV relativeFrom="paragraph">
            <wp:posOffset>-290195</wp:posOffset>
          </wp:positionV>
          <wp:extent cx="2006600" cy="74612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060AA" w14:textId="77777777" w:rsidR="009263FA" w:rsidRPr="006F3984" w:rsidRDefault="009263FA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1622"/>
    <w:multiLevelType w:val="hybridMultilevel"/>
    <w:tmpl w:val="27124940"/>
    <w:lvl w:ilvl="0" w:tplc="8490ED38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num w:numId="1" w16cid:durableId="181548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B"/>
    <w:rsid w:val="000223D7"/>
    <w:rsid w:val="00027881"/>
    <w:rsid w:val="00030A9E"/>
    <w:rsid w:val="00031A72"/>
    <w:rsid w:val="0006487D"/>
    <w:rsid w:val="00070A82"/>
    <w:rsid w:val="00075049"/>
    <w:rsid w:val="00076E1F"/>
    <w:rsid w:val="00082CAD"/>
    <w:rsid w:val="00093FC6"/>
    <w:rsid w:val="000B26B8"/>
    <w:rsid w:val="000B2F90"/>
    <w:rsid w:val="000C6A16"/>
    <w:rsid w:val="000C70A8"/>
    <w:rsid w:val="00122715"/>
    <w:rsid w:val="00123F73"/>
    <w:rsid w:val="00146DE4"/>
    <w:rsid w:val="00176907"/>
    <w:rsid w:val="00181271"/>
    <w:rsid w:val="00182802"/>
    <w:rsid w:val="001878DC"/>
    <w:rsid w:val="001939F8"/>
    <w:rsid w:val="001B302D"/>
    <w:rsid w:val="001B41ED"/>
    <w:rsid w:val="001D7453"/>
    <w:rsid w:val="001D7E9E"/>
    <w:rsid w:val="001E009A"/>
    <w:rsid w:val="001E1DB6"/>
    <w:rsid w:val="001E3C17"/>
    <w:rsid w:val="00205067"/>
    <w:rsid w:val="002262E8"/>
    <w:rsid w:val="002307CC"/>
    <w:rsid w:val="002337B3"/>
    <w:rsid w:val="00241D56"/>
    <w:rsid w:val="00271BBC"/>
    <w:rsid w:val="002734D8"/>
    <w:rsid w:val="00284030"/>
    <w:rsid w:val="00284628"/>
    <w:rsid w:val="002935ED"/>
    <w:rsid w:val="002A00AA"/>
    <w:rsid w:val="002A1569"/>
    <w:rsid w:val="002A3074"/>
    <w:rsid w:val="002C2943"/>
    <w:rsid w:val="002E026B"/>
    <w:rsid w:val="002E1F74"/>
    <w:rsid w:val="002E49AE"/>
    <w:rsid w:val="002F6D62"/>
    <w:rsid w:val="00305692"/>
    <w:rsid w:val="00322AE9"/>
    <w:rsid w:val="00323F23"/>
    <w:rsid w:val="00323F70"/>
    <w:rsid w:val="003269AC"/>
    <w:rsid w:val="00346DFC"/>
    <w:rsid w:val="00347951"/>
    <w:rsid w:val="00352BD1"/>
    <w:rsid w:val="00354D18"/>
    <w:rsid w:val="00367708"/>
    <w:rsid w:val="00382BCD"/>
    <w:rsid w:val="00390F95"/>
    <w:rsid w:val="003A2F0F"/>
    <w:rsid w:val="003A40A8"/>
    <w:rsid w:val="003C070F"/>
    <w:rsid w:val="003E4968"/>
    <w:rsid w:val="003E6FC5"/>
    <w:rsid w:val="003F3CF3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0B76"/>
    <w:rsid w:val="004D4470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84144"/>
    <w:rsid w:val="00587EEB"/>
    <w:rsid w:val="00590E92"/>
    <w:rsid w:val="005A7AFC"/>
    <w:rsid w:val="005B0C90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775D"/>
    <w:rsid w:val="00653DDF"/>
    <w:rsid w:val="00657033"/>
    <w:rsid w:val="00666C81"/>
    <w:rsid w:val="00670D04"/>
    <w:rsid w:val="006741E1"/>
    <w:rsid w:val="0069337B"/>
    <w:rsid w:val="0069345E"/>
    <w:rsid w:val="006B3A55"/>
    <w:rsid w:val="006C0BBA"/>
    <w:rsid w:val="006F3984"/>
    <w:rsid w:val="00700320"/>
    <w:rsid w:val="0070271F"/>
    <w:rsid w:val="00703DBD"/>
    <w:rsid w:val="00717B12"/>
    <w:rsid w:val="00720048"/>
    <w:rsid w:val="0072076C"/>
    <w:rsid w:val="00721EC7"/>
    <w:rsid w:val="00722A06"/>
    <w:rsid w:val="007242E6"/>
    <w:rsid w:val="00730EC2"/>
    <w:rsid w:val="007313DA"/>
    <w:rsid w:val="007570DF"/>
    <w:rsid w:val="007704EE"/>
    <w:rsid w:val="00775B3E"/>
    <w:rsid w:val="007762FE"/>
    <w:rsid w:val="00776484"/>
    <w:rsid w:val="007916EC"/>
    <w:rsid w:val="007A0B4D"/>
    <w:rsid w:val="007A63CE"/>
    <w:rsid w:val="007F3790"/>
    <w:rsid w:val="007F3B93"/>
    <w:rsid w:val="007F44AE"/>
    <w:rsid w:val="00826ACA"/>
    <w:rsid w:val="00830646"/>
    <w:rsid w:val="0083178C"/>
    <w:rsid w:val="00837A44"/>
    <w:rsid w:val="00855F71"/>
    <w:rsid w:val="00857973"/>
    <w:rsid w:val="008662C4"/>
    <w:rsid w:val="0088095B"/>
    <w:rsid w:val="008A3B9F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8F716B"/>
    <w:rsid w:val="00900146"/>
    <w:rsid w:val="00904991"/>
    <w:rsid w:val="00913CF3"/>
    <w:rsid w:val="009263FA"/>
    <w:rsid w:val="00932E05"/>
    <w:rsid w:val="00937D26"/>
    <w:rsid w:val="00950EE6"/>
    <w:rsid w:val="00956A80"/>
    <w:rsid w:val="00960575"/>
    <w:rsid w:val="00967AAE"/>
    <w:rsid w:val="00972DD2"/>
    <w:rsid w:val="009900D5"/>
    <w:rsid w:val="00994983"/>
    <w:rsid w:val="009A208E"/>
    <w:rsid w:val="009C519B"/>
    <w:rsid w:val="009E089B"/>
    <w:rsid w:val="009E09C1"/>
    <w:rsid w:val="009E6CA8"/>
    <w:rsid w:val="009E732A"/>
    <w:rsid w:val="009F5CEC"/>
    <w:rsid w:val="00A37923"/>
    <w:rsid w:val="00A46C21"/>
    <w:rsid w:val="00A55D77"/>
    <w:rsid w:val="00A703A4"/>
    <w:rsid w:val="00AA43E5"/>
    <w:rsid w:val="00AA5A0B"/>
    <w:rsid w:val="00AB42A5"/>
    <w:rsid w:val="00AC5179"/>
    <w:rsid w:val="00AD0E0C"/>
    <w:rsid w:val="00AE3F6E"/>
    <w:rsid w:val="00AF7667"/>
    <w:rsid w:val="00B01D64"/>
    <w:rsid w:val="00B04D0B"/>
    <w:rsid w:val="00B25F24"/>
    <w:rsid w:val="00B27E17"/>
    <w:rsid w:val="00B40436"/>
    <w:rsid w:val="00B65A43"/>
    <w:rsid w:val="00B76D36"/>
    <w:rsid w:val="00B76DA5"/>
    <w:rsid w:val="00B827D4"/>
    <w:rsid w:val="00B84CF1"/>
    <w:rsid w:val="00B94D12"/>
    <w:rsid w:val="00BC22C3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6111A"/>
    <w:rsid w:val="00C65131"/>
    <w:rsid w:val="00C734F7"/>
    <w:rsid w:val="00C769A7"/>
    <w:rsid w:val="00C77337"/>
    <w:rsid w:val="00C82132"/>
    <w:rsid w:val="00CA5C69"/>
    <w:rsid w:val="00CA63BA"/>
    <w:rsid w:val="00CB0752"/>
    <w:rsid w:val="00CD5480"/>
    <w:rsid w:val="00CD766D"/>
    <w:rsid w:val="00D00179"/>
    <w:rsid w:val="00D00461"/>
    <w:rsid w:val="00D31AAF"/>
    <w:rsid w:val="00D6311B"/>
    <w:rsid w:val="00D668F8"/>
    <w:rsid w:val="00D66B99"/>
    <w:rsid w:val="00D70E31"/>
    <w:rsid w:val="00DA095F"/>
    <w:rsid w:val="00DA32D2"/>
    <w:rsid w:val="00DB01B7"/>
    <w:rsid w:val="00DC166C"/>
    <w:rsid w:val="00DD686B"/>
    <w:rsid w:val="00DE2B41"/>
    <w:rsid w:val="00E01AEF"/>
    <w:rsid w:val="00E07713"/>
    <w:rsid w:val="00E12CE1"/>
    <w:rsid w:val="00E1332E"/>
    <w:rsid w:val="00E16CD1"/>
    <w:rsid w:val="00E21501"/>
    <w:rsid w:val="00E26E49"/>
    <w:rsid w:val="00E5094B"/>
    <w:rsid w:val="00E53D9C"/>
    <w:rsid w:val="00E54729"/>
    <w:rsid w:val="00E75758"/>
    <w:rsid w:val="00E81D90"/>
    <w:rsid w:val="00E95E79"/>
    <w:rsid w:val="00EA055B"/>
    <w:rsid w:val="00EB2A5C"/>
    <w:rsid w:val="00EB7DFA"/>
    <w:rsid w:val="00EC009D"/>
    <w:rsid w:val="00EC3A7D"/>
    <w:rsid w:val="00EE5DD2"/>
    <w:rsid w:val="00EE7E68"/>
    <w:rsid w:val="00EF0F21"/>
    <w:rsid w:val="00EF7E8C"/>
    <w:rsid w:val="00F1164B"/>
    <w:rsid w:val="00F11BC6"/>
    <w:rsid w:val="00F14F87"/>
    <w:rsid w:val="00F151C2"/>
    <w:rsid w:val="00F345BC"/>
    <w:rsid w:val="00F36AA8"/>
    <w:rsid w:val="00F61594"/>
    <w:rsid w:val="00F65D31"/>
    <w:rsid w:val="00F81407"/>
    <w:rsid w:val="00F924B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90B0237"/>
  <w14:defaultImageDpi w14:val="0"/>
  <w15:chartTrackingRefBased/>
  <w15:docId w15:val="{B3F6BD8B-4A1F-4C36-93C3-9DE8EE1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7C5803-7CFB-400B-BE0B-2CA55BEF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4816</Characters>
  <Application>Microsoft Office Word</Application>
  <DocSecurity>0</DocSecurity>
  <Lines>77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cp:lastModifiedBy>Miri Rozmarin</cp:lastModifiedBy>
  <cp:revision>2</cp:revision>
  <dcterms:created xsi:type="dcterms:W3CDTF">2022-09-04T13:00:00Z</dcterms:created>
  <dcterms:modified xsi:type="dcterms:W3CDTF">2022-09-04T13:00:00Z</dcterms:modified>
</cp:coreProperties>
</file>